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Spain</w:t>
      </w:r>
      <w:r>
        <w:t xml:space="preserve"> </w:t>
      </w:r>
      <w:r>
        <w:t xml:space="preserve">Madrid</w:t>
      </w:r>
      <w:r>
        <w:t xml:space="preserve"> </w:t>
      </w:r>
      <w:r>
        <w:t xml:space="preserve">Market</w:t>
      </w:r>
    </w:p>
    <w:bookmarkStart w:id="26" w:name="Xb69b5e2ca4f2ab395f4971995f2d99b4b0b7a3f"/>
    <w:p>
      <w:pPr>
        <w:pStyle w:val="Heading1"/>
      </w:pPr>
      <w:r>
        <w:t xml:space="preserve">Sales Report: Strategic Performance of the Banker in the Spain Madrid Financial Landscape</w:t>
      </w:r>
    </w:p>
    <w:p>
      <w:pPr>
        <w:pStyle w:val="FirstParagraph"/>
      </w:pPr>
      <w:r>
        <w:t xml:space="preserve">This comprehensive Sales Report details the operational achievements, market positioning, and strategic initiatives executed by our dedicated Banking Professional within the dynamic Spain Madrid financial ecosystem. As a senior Banker operating at the heart of Europe's 15th largest economy, this report underscores how localized expertise and culturally attuned relationship management have driven exceptional results in one of Spain's most competitive banking hubs. The findings presented herein directly reflect the unique demands of serving high-net-worth individuals, corporate clients, and institutional partners across Madrid's evolving economic terrain.</w:t>
      </w:r>
    </w:p>
    <w:bookmarkStart w:id="20" w:name="X02b32c46c0007418812177f10d8b663d2b98a8c"/>
    <w:p>
      <w:pPr>
        <w:pStyle w:val="Heading2"/>
      </w:pPr>
      <w:r>
        <w:t xml:space="preserve">Market Context: Spain Madrid as a Financial Nexus</w:t>
      </w:r>
    </w:p>
    <w:p>
      <w:pPr>
        <w:pStyle w:val="FirstParagraph"/>
      </w:pPr>
      <w:r>
        <w:t xml:space="preserve">The Spain Madrid market continues to demonstrate robust resilience following post-pandemic recovery phases. As the political and economic capital of Spain, Madrid accounts for approximately 18% of national GDP, hosting over 30 international banking headquarters and generating significant wealth across sectors including real estate (particularly in premium districts like Salamanca and Chamartín), technology startups, and luxury retail. Our Banker's strategic focus on this high-value market has proven critical, leveraging deep local knowledge of Spain's regulatory framework—particularly the stringent requirements set by Banco de España—and cultural nuances that dictate client expectations. Unlike generic banking approaches, our Madrid-based strategy integrates understanding of regional tax incentives like those offered under the "Residency for Investment" program, directly enhancing sales conversion rates among Spanish expatriate communities returning to Madrid.</w:t>
      </w:r>
    </w:p>
    <w:bookmarkEnd w:id="20"/>
    <w:bookmarkStart w:id="21" w:name="Xeb73f0953ba3bd70c7404fa72817f6e17aa11c8"/>
    <w:p>
      <w:pPr>
        <w:pStyle w:val="Heading2"/>
      </w:pPr>
      <w:r>
        <w:t xml:space="preserve">Performance Metrics: Exceeding Sales Targets in Spain Madrid</w:t>
      </w:r>
    </w:p>
    <w:p>
      <w:pPr>
        <w:pStyle w:val="FirstParagraph"/>
      </w:pPr>
      <w:r>
        <w:t xml:space="preserve">The past quarter saw a 24.7% year-over-year increase in assets under management (AUM) for our Banker, totaling €185 million—a figure significantly outperforming the Spain Madrid regional average of 16%. This success stems from a hyper-focused client acquisition strategy tailored to Madrid's affluent demographic. Key achievements include:</w:t>
      </w:r>
    </w:p>
    <w:p>
      <w:pPr>
        <w:numPr>
          <w:ilvl w:val="0"/>
          <w:numId w:val="1001"/>
        </w:numPr>
        <w:pStyle w:val="Compact"/>
      </w:pPr>
      <w:r>
        <w:rPr>
          <w:bCs/>
          <w:b/>
        </w:rPr>
        <w:t xml:space="preserve">Private Banking Growth:</w:t>
      </w:r>
      <w:r>
        <w:t xml:space="preserve"> </w:t>
      </w:r>
      <w:r>
        <w:t xml:space="preserve">Secured 32 new high-net-worth clients (HNWIs) in Madrid, including four family offices with €50M+ assets, representing a 40% increase from prior quarter.</w:t>
      </w:r>
    </w:p>
    <w:p>
      <w:pPr>
        <w:numPr>
          <w:ilvl w:val="0"/>
          <w:numId w:val="1001"/>
        </w:numPr>
        <w:pStyle w:val="Compact"/>
      </w:pPr>
      <w:r>
        <w:rPr>
          <w:bCs/>
          <w:b/>
        </w:rPr>
        <w:t xml:space="preserve">Cross-Sell Success:</w:t>
      </w:r>
      <w:r>
        <w:t xml:space="preserve"> </w:t>
      </w:r>
      <w:r>
        <w:t xml:space="preserve">Achieved 78% adoption of tailored investment solutions among existing Spain Madrid clients, particularly leveraging the Banker's expertise in renewable energy funds aligning with Spain's national green transition goals.</w:t>
      </w:r>
    </w:p>
    <w:p>
      <w:pPr>
        <w:numPr>
          <w:ilvl w:val="0"/>
          <w:numId w:val="1001"/>
        </w:numPr>
        <w:pStyle w:val="Compact"/>
      </w:pPr>
      <w:r>
        <w:rPr>
          <w:bCs/>
          <w:b/>
        </w:rPr>
        <w:t xml:space="preserve">Client Retention Rate:</w:t>
      </w:r>
      <w:r>
        <w:t xml:space="preserve"> </w:t>
      </w:r>
      <w:r>
        <w:t xml:space="preserve">Maintained a stellar 96.3% retention rate in Madrid—well above the industry benchmark of 88%—through personalized quarterly business reviews conducted in Spanish and English, reflecting our Banker's linguistic and cultural fluency.</w:t>
      </w:r>
    </w:p>
    <w:bookmarkEnd w:id="21"/>
    <w:bookmarkStart w:id="22" w:name="Xed425f186976f64b10e0363c0ed73b0988c2501"/>
    <w:p>
      <w:pPr>
        <w:pStyle w:val="Heading2"/>
      </w:pPr>
      <w:r>
        <w:t xml:space="preserve">Strategic Initiatives: The Banker's Localized Approach</w:t>
      </w:r>
    </w:p>
    <w:p>
      <w:pPr>
        <w:pStyle w:val="FirstParagraph"/>
      </w:pPr>
      <w:r>
        <w:t xml:space="preserve">Our Spain Madrid-focused Sales Report reveals that the Banker’s success hinges on three pillars of localized strategy:</w:t>
      </w:r>
    </w:p>
    <w:p>
      <w:pPr>
        <w:numPr>
          <w:ilvl w:val="0"/>
          <w:numId w:val="1002"/>
        </w:numPr>
        <w:pStyle w:val="Compact"/>
      </w:pPr>
      <w:r>
        <w:rPr>
          <w:bCs/>
          <w:b/>
        </w:rPr>
        <w:t xml:space="preserve">Cultural Intelligence:</w:t>
      </w:r>
      <w:r>
        <w:t xml:space="preserve"> </w:t>
      </w:r>
      <w:r>
        <w:t xml:space="preserve">The Banker consistently integrates understanding of Spanish business etiquette into client interactions, recognizing that relationship-building in Madrid often requires extended social engagement beyond formal meetings.</w:t>
      </w:r>
    </w:p>
    <w:p>
      <w:pPr>
        <w:numPr>
          <w:ilvl w:val="0"/>
          <w:numId w:val="1002"/>
        </w:numPr>
        <w:pStyle w:val="Compact"/>
      </w:pPr>
      <w:r>
        <w:rPr>
          <w:bCs/>
          <w:b/>
        </w:rPr>
        <w:t xml:space="preserve">Regulatory Navigation:</w:t>
      </w:r>
      <w:r>
        <w:t xml:space="preserve"> </w:t>
      </w:r>
      <w:r>
        <w:t xml:space="preserve">Proactively addressing Spain's complex tax regulations (e.g., wealth tax implications under Law 35/2006), the Banker designed bespoke structures reducing client tax burdens by an average of 12%, directly enhancing value perception.</w:t>
      </w:r>
    </w:p>
    <w:p>
      <w:pPr>
        <w:numPr>
          <w:ilvl w:val="0"/>
          <w:numId w:val="1002"/>
        </w:numPr>
        <w:pStyle w:val="Compact"/>
      </w:pPr>
      <w:r>
        <w:rPr>
          <w:bCs/>
          <w:b/>
        </w:rPr>
        <w:t xml:space="preserve">Geographic Targeting:</w:t>
      </w:r>
      <w:r>
        <w:t xml:space="preserve"> </w:t>
      </w:r>
      <w:r>
        <w:t xml:space="preserve">Focusing on Madrid’s growth corridors—such as the new "Madrid Central" business district and the booming startup scene in Cibeles—allowed the Banker to identify emerging high-value clients previously underserved by traditional banking models.</w:t>
      </w:r>
    </w:p>
    <w:p>
      <w:pPr>
        <w:pStyle w:val="FirstParagraph"/>
      </w:pPr>
      <w:r>
        <w:t xml:space="preserve">This targeted approach has positioned our Banker as a preferred advisor for Madrid’s evolving economic elite, where 67% of new acquisitions originated from referrals within Madrid's established professional networks.</w:t>
      </w:r>
    </w:p>
    <w:bookmarkEnd w:id="22"/>
    <w:bookmarkStart w:id="23" w:name="Xfb8a5b278f89177ef8c928b7bc4e5bed4e5e3d2"/>
    <w:p>
      <w:pPr>
        <w:pStyle w:val="Heading2"/>
      </w:pPr>
      <w:r>
        <w:t xml:space="preserve">Challenges and Mitigation in Spain Madrid</w:t>
      </w:r>
    </w:p>
    <w:p>
      <w:pPr>
        <w:pStyle w:val="FirstParagraph"/>
      </w:pPr>
      <w:r>
        <w:t xml:space="preserve">Despite strong performance, the Spain Madrid market presents unique challenges requiring the Banker's specialized intervention. The recent tightening of anti-money laundering (AML) regulations by the Spanish Financial Intelligence Unit (UIAF) initially slowed client onboarding. However, our Banker proactively implemented a streamlined verification process compliant with both Spanish law and international standards, reducing processing times by 35% while maintaining full regulatory adherence. Another challenge was Madrid's intense competition for top talent; the Banker mitigated this through internal development programs focused on Spain-specific financial product mastery, ensuring the team remained highly knowledgeable about local market dynamics.</w:t>
      </w:r>
    </w:p>
    <w:bookmarkEnd w:id="23"/>
    <w:bookmarkStart w:id="24" w:name="X9035c81a10ab43cc929cda76b0e653100d189ad"/>
    <w:p>
      <w:pPr>
        <w:pStyle w:val="Heading2"/>
      </w:pPr>
      <w:r>
        <w:t xml:space="preserve">Competitive Differentiation: Why Our Banker Wins in Spain Madrid</w:t>
      </w:r>
    </w:p>
    <w:p>
      <w:pPr>
        <w:pStyle w:val="FirstParagraph"/>
      </w:pPr>
      <w:r>
        <w:t xml:space="preserve">What sets our Banker apart in the Spain Madrid landscape is not merely transaction volume but deep-rooted trust. Unlike competitors relying on standardized digital platforms, the Banker’s physical presence across key Madrid neighborhoods (including exclusive enclaves like La Moraleja) enables face-to-face engagement critical to Spanish client acquisition. A recent client satisfaction survey revealed that 89% of Madrid-based clients cited "the Banker's understanding of local culture" as their primary reason for choosing our firm over rivals. This cultural fluency extends to recognizing regional holidays (e.g., Madrid’s "San Isidro" festival) as relationship-building opportunities, something generic banking strategies overlook.</w:t>
      </w:r>
    </w:p>
    <w:bookmarkEnd w:id="24"/>
    <w:bookmarkStart w:id="25" w:name="X037153ed2a7da9c00454d9e04ab089222d1af9f"/>
    <w:p>
      <w:pPr>
        <w:pStyle w:val="Heading2"/>
      </w:pPr>
      <w:r>
        <w:t xml:space="preserve">Forward-Looking Strategy: Future Sales Trajectory</w:t>
      </w:r>
    </w:p>
    <w:p>
      <w:pPr>
        <w:pStyle w:val="FirstParagraph"/>
      </w:pPr>
      <w:r>
        <w:t xml:space="preserve">Based on current momentum in the Spain Madrid market, our Banker will prioritize three initiatives for 2024:</w:t>
      </w:r>
    </w:p>
    <w:p>
      <w:pPr>
        <w:numPr>
          <w:ilvl w:val="0"/>
          <w:numId w:val="1003"/>
        </w:numPr>
        <w:pStyle w:val="Compact"/>
      </w:pPr>
      <w:r>
        <w:t xml:space="preserve">Expansion into Madrid's emerging luxury tourism sector by offering tailored financial products for foreign investors purchasing residential properties in the city.</w:t>
      </w:r>
    </w:p>
    <w:p>
      <w:pPr>
        <w:numPr>
          <w:ilvl w:val="0"/>
          <w:numId w:val="1003"/>
        </w:numPr>
        <w:pStyle w:val="Compact"/>
      </w:pPr>
      <w:r>
        <w:t xml:space="preserve">Collaboration with Madrid-based fintechs to develop digital tools that complement the Banker's personal service, enhancing client experience without diminishing relationship depth.</w:t>
      </w:r>
    </w:p>
    <w:p>
      <w:pPr>
        <w:numPr>
          <w:ilvl w:val="0"/>
          <w:numId w:val="1003"/>
        </w:numPr>
        <w:pStyle w:val="Compact"/>
      </w:pPr>
      <w:r>
        <w:t xml:space="preserve">Targeted outreach to Madrid's growing cohort of Spanish entrepreneurs returning from abroad, leveraging Spain's new "Digital Nomad Visa" program for high-value client acquisition.</w:t>
      </w:r>
    </w:p>
    <w:p>
      <w:pPr>
        <w:pStyle w:val="FirstParagraph"/>
      </w:pPr>
      <w:r>
        <w:t xml:space="preserve">This Sales Report conclusively demonstrates that the Banker’s success in Spain Madrid is not incidental—it is a direct result of embedding sales strategy within the cultural, regulatory, and economic fabric of Madrid. As the city continues to solidify its status as Europe's second most important financial center after London (per recent EY reports), our Banker's localized expertise ensures sustained competitive advantage. The data presented here confirms that in Spain Madrid, where client trust is paramount and market nuances are profound, a dedicated Banker—not just a generic sales representative—is the definitive catalyst for growth. Moving forward, we remain committed to scaling this proven model across Spain while maintaining our Madrid-centric excellence as the cornerstone of our national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Performance in Spain Madrid Market</dc:title>
  <dc:creator/>
  <dc:language>en</dc:language>
  <cp:keywords/>
  <dcterms:created xsi:type="dcterms:W3CDTF">2026-07-23T12:30:18Z</dcterms:created>
  <dcterms:modified xsi:type="dcterms:W3CDTF">2026-07-23T12:30:18Z</dcterms:modified>
</cp:coreProperties>
</file>

<file path=docProps/custom.xml><?xml version="1.0" encoding="utf-8"?>
<Properties xmlns="http://schemas.openxmlformats.org/officeDocument/2006/custom-properties" xmlns:vt="http://schemas.openxmlformats.org/officeDocument/2006/docPropsVTypes"/>
</file>