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Spain</w:t>
      </w:r>
      <w:r>
        <w:t xml:space="preserve"> </w:t>
      </w:r>
      <w:r>
        <w:t xml:space="preserve">Valencia</w:t>
      </w:r>
    </w:p>
    <w:bookmarkStart w:id="27" w:name="X30e4ef2ac36833288df2ac0d910c43fd5693a6c"/>
    <w:p>
      <w:pPr>
        <w:pStyle w:val="Heading1"/>
      </w:pPr>
      <w:r>
        <w:t xml:space="preserve">Comprehensive Sales Report: Strategic Banking Performance Analysis for Spain Valencia</w:t>
      </w:r>
    </w:p>
    <w:bookmarkStart w:id="20" w:name="Xea1cf7f3b14789a124c647a5419873b80bae0e9"/>
    <w:p>
      <w:pPr>
        <w:pStyle w:val="Heading2"/>
      </w:pPr>
      <w:r>
        <w:t xml:space="preserve">Introduction: The Vital Role of the Banker in Spain's Valencian Market</w:t>
      </w:r>
    </w:p>
    <w:p>
      <w:pPr>
        <w:pStyle w:val="FirstParagraph"/>
      </w:pPr>
      <w:r>
        <w:t xml:space="preserve">This Sales Report presents an in-depth analysis of banking performance within the dynamic financial landscape of Spain Valencia. As a dedicated Banker operating across this vibrant region, understanding local market nuances is paramount to delivering exceptional client service and driving sustainable growth. Valencia's economy—boasting strong tourism, advanced manufacturing, and innovative tech sectors—demands specialized banking solutions that align with both regional economic patterns and evolving customer expectations. This document serves as the definitive Sales Report for our Valencian operations, detailing performance metrics, strategic insights, and actionable recommendations to empower every Banker in this critical market.</w:t>
      </w:r>
    </w:p>
    <w:bookmarkEnd w:id="20"/>
    <w:bookmarkStart w:id="21" w:name="Xd2cf86c5ccf28c5b54923f72c6089c2a0b9353e"/>
    <w:p>
      <w:pPr>
        <w:pStyle w:val="Heading2"/>
      </w:pPr>
      <w:r>
        <w:t xml:space="preserve">Market Context: Spain Valencia's Banking Landscape</w:t>
      </w:r>
    </w:p>
    <w:p>
      <w:pPr>
        <w:pStyle w:val="FirstParagraph"/>
      </w:pPr>
      <w:r>
        <w:t xml:space="preserve">Spain Valencia represents a high-potential banking corridor where economic activity is concentrated in cities like Valencia City, Alicante, and Castellón. The region contributes 10.7% to Spain's GDP, with key growth drivers including agri-food exports (notably citrus and olive oil), renewable energy investments, and digital transformation initiatives. As a Banker operating in this ecosystem, you navigate unique challenges: fluctuating tourism seasons impacting SME cash flows, high demand for sustainable finance products aligned with Valencia's green initiatives (e.g., the València 2030 Climate Strategy), and a growing expat community seeking cross-border solutions. Our Sales Report confirms that 68% of Valencian clients prioritize local banking relationships over national institutions—a testament to the Banker's irreplaceable role in building trust through hyper-local expertise.</w:t>
      </w:r>
    </w:p>
    <w:bookmarkEnd w:id="21"/>
    <w:bookmarkStart w:id="22" w:name="X60095fa7cfefc910f7e163363274e3a7350cd8d"/>
    <w:p>
      <w:pPr>
        <w:pStyle w:val="Heading2"/>
      </w:pPr>
      <w:r>
        <w:t xml:space="preserve">Q3 2023 Sales Performance Breakdown: Spain Valencia Focus</w:t>
      </w:r>
    </w:p>
    <w:p>
      <w:pPr>
        <w:pStyle w:val="FirstParagraph"/>
      </w:pPr>
      <w:r>
        <w:t xml:space="preserve">Product/Service</w:t>
      </w:r>
    </w:p>
    <w:p>
      <w:pPr>
        <w:pStyle w:val="BodyText"/>
      </w:pPr>
      <w:r>
        <w:t xml:space="preserve">Valencia Region Target</w:t>
      </w:r>
    </w:p>
    <w:p>
      <w:pPr>
        <w:pStyle w:val="BodyText"/>
      </w:pPr>
      <w:r>
        <w:t xml:space="preserve">Actual Achievement</w:t>
      </w:r>
    </w:p>
    <w:p>
      <w:pPr>
        <w:pStyle w:val="BodyText"/>
      </w:pPr>
      <w:r>
        <w:t xml:space="preserve">Variance (%)</w:t>
      </w:r>
    </w:p>
    <w:p>
      <w:pPr>
        <w:pStyle w:val="BodyText"/>
      </w:pPr>
      <w:r>
        <w:t xml:space="preserve">Retail Banking (New Accounts)</w:t>
      </w:r>
    </w:p>
    <w:p>
      <w:pPr>
        <w:pStyle w:val="BodyText"/>
      </w:pPr>
      <w:r>
        <w:t xml:space="preserve">1,250</w:t>
      </w:r>
    </w:p>
    <w:p>
      <w:pPr>
        <w:pStyle w:val="BodyText"/>
      </w:pPr>
      <w:r>
        <w:t xml:space="preserve">1,480</w:t>
      </w:r>
    </w:p>
    <w:p>
      <w:pPr>
        <w:pStyle w:val="BodyText"/>
      </w:pPr>
      <w:r>
        <w:t xml:space="preserve">+18.4%</w:t>
      </w:r>
    </w:p>
    <w:p>
      <w:pPr>
        <w:pStyle w:val="BodyText"/>
      </w:pPr>
      <w:r>
        <w:t xml:space="preserve">SME Loans</w:t>
      </w:r>
    </w:p>
    <w:p>
      <w:pPr>
        <w:pStyle w:val="BodyText"/>
      </w:pPr>
      <w:r>
        <w:t xml:space="preserve">€9.5M</w:t>
      </w:r>
    </w:p>
    <w:p>
      <w:pPr>
        <w:pStyle w:val="BodyText"/>
      </w:pPr>
      <w:r>
        <w:t xml:space="preserve">€12.3M</w:t>
      </w:r>
    </w:p>
    <w:p>
      <w:pPr>
        <w:pStyle w:val="BodyText"/>
      </w:pPr>
      <w:r>
        <w:t xml:space="preserve">+29.5%</w:t>
      </w:r>
    </w:p>
    <w:p>
      <w:pPr>
        <w:pStyle w:val="BodyText"/>
      </w:pPr>
      <w:r>
        <w:t xml:space="preserve">Mortgage Portfolio Growth</w:t>
      </w:r>
    </w:p>
    <w:p>
      <w:pPr>
        <w:pStyle w:val="BodyText"/>
      </w:pPr>
      <w:r>
        <w:t xml:space="preserve">750 units</w:t>
      </w:r>
    </w:p>
    <w:p>
      <w:pPr>
        <w:pStyle w:val="BodyText"/>
      </w:pPr>
      <w:r>
        <w:t xml:space="preserve">820 units</w:t>
      </w:r>
    </w:p>
    <w:p>
      <w:pPr>
        <w:pStyle w:val="BodyText"/>
      </w:pPr>
      <w:r>
        <w:t xml:space="preserve">+9.3%</w:t>
      </w:r>
    </w:p>
    <w:p>
      <w:pPr>
        <w:pStyle w:val="BodyText"/>
      </w:pPr>
      <w:r>
        <w:t xml:space="preserve">Sustainable Finance Products (Green Loans)</w:t>
      </w:r>
    </w:p>
    <w:p>
      <w:pPr>
        <w:pStyle w:val="BodyText"/>
      </w:pPr>
      <w:r>
        <w:t xml:space="preserve">€1.8M</w:t>
      </w:r>
    </w:p>
    <w:p>
      <w:pPr>
        <w:pStyle w:val="BodyText"/>
      </w:pPr>
      <w:r>
        <w:t xml:space="preserve">€2.6M</w:t>
      </w:r>
    </w:p>
    <w:p>
      <w:pPr>
        <w:pStyle w:val="BodyText"/>
      </w:pPr>
      <w:r>
        <w:t xml:space="preserve">+44.4%</w:t>
      </w:r>
    </w:p>
    <w:p>
      <w:pPr>
        <w:pStyle w:val="BodyText"/>
      </w:pPr>
      <w:r>
        <w:t xml:space="preserve">Cross-Sold Services (Per Client)</w:t>
      </w:r>
    </w:p>
    <w:p>
      <w:pPr>
        <w:pStyle w:val="BodyText"/>
      </w:pPr>
      <w:r>
        <w:t xml:space="preserve">1.7</w:t>
      </w:r>
    </w:p>
    <w:p>
      <w:pPr>
        <w:pStyle w:val="BodyText"/>
      </w:pPr>
      <w:r>
        <w:t xml:space="preserve">2.3</w:t>
      </w:r>
    </w:p>
    <w:p>
      <w:pPr>
        <w:pStyle w:val="BodyText"/>
      </w:pPr>
      <w:r>
        <w:t xml:space="preserve">The Sales Report underscores that Valencia achieved 108% of Q3 sales targets, significantly outperforming the national average of 95%. Key drivers include:</w:t>
      </w:r>
    </w:p>
    <w:p>
      <w:pPr>
        <w:numPr>
          <w:ilvl w:val="0"/>
          <w:numId w:val="1001"/>
        </w:numPr>
        <w:pStyle w:val="Compact"/>
      </w:pPr>
      <w:r>
        <w:rPr>
          <w:bCs/>
          <w:b/>
        </w:rPr>
        <w:t xml:space="preserve">Green Finance Leadership:</w:t>
      </w:r>
      <w:r>
        <w:t xml:space="preserve"> </w:t>
      </w:r>
      <w:r>
        <w:t xml:space="preserve">Our Banker team capitalized on Valencia's €2B regional green investment fund, securing 44.4% growth in sustainable loans for local agricultural cooperatives and eco-tourism ventures.</w:t>
      </w:r>
    </w:p>
    <w:p>
      <w:pPr>
        <w:numPr>
          <w:ilvl w:val="0"/>
          <w:numId w:val="1001"/>
        </w:numPr>
        <w:pStyle w:val="Compact"/>
      </w:pPr>
      <w:r>
        <w:rPr>
          <w:bCs/>
          <w:b/>
        </w:rPr>
        <w:t xml:space="preserve">SME Focus:</w:t>
      </w:r>
      <w:r>
        <w:t xml:space="preserve"> </w:t>
      </w:r>
      <w:r>
        <w:t xml:space="preserve">Targeted solutions for Valencian "Mediterranean Innovation Hubs" drove 29.5% SME loan growth, particularly in tech startups and export-oriented food processors.</w:t>
      </w:r>
    </w:p>
    <w:p>
      <w:pPr>
        <w:numPr>
          <w:ilvl w:val="0"/>
          <w:numId w:val="1001"/>
        </w:numPr>
        <w:pStyle w:val="Compact"/>
      </w:pPr>
      <w:r>
        <w:rPr>
          <w:bCs/>
          <w:b/>
        </w:rPr>
        <w:t xml:space="preserve">Client Retention:</w:t>
      </w:r>
      <w:r>
        <w:t xml:space="preserve"> </w:t>
      </w:r>
      <w:r>
        <w:t xml:space="preserve">Personalized relationship management by Bankers reduced churn by 15% YoY—critical in Valencia's competitive market where 32% of clients compare offers from regional banks annually.</w:t>
      </w:r>
    </w:p>
    <w:bookmarkEnd w:id="22"/>
    <w:bookmarkStart w:id="23" w:name="challenges-facing-the-valencian-banker"/>
    <w:p>
      <w:pPr>
        <w:pStyle w:val="Heading2"/>
      </w:pPr>
      <w:r>
        <w:t xml:space="preserve">Challenges Facing the Valencian Banker</w:t>
      </w:r>
    </w:p>
    <w:p>
      <w:pPr>
        <w:pStyle w:val="FirstParagraph"/>
      </w:pPr>
      <w:r>
        <w:t xml:space="preserve">This Sales Report identifies three critical challenges requiring strategic intervention:</w:t>
      </w:r>
    </w:p>
    <w:p>
      <w:pPr>
        <w:numPr>
          <w:ilvl w:val="0"/>
          <w:numId w:val="1002"/>
        </w:numPr>
        <w:pStyle w:val="Compact"/>
      </w:pPr>
      <w:r>
        <w:rPr>
          <w:bCs/>
          <w:b/>
        </w:rPr>
        <w:t xml:space="preserve">Regulatory Complexity:</w:t>
      </w:r>
      <w:r>
        <w:t xml:space="preserve"> </w:t>
      </w:r>
      <w:r>
        <w:t xml:space="preserve">Spain's new Sustainable Finance Disclosure Regulation (SFDR) demands deeper expertise. Bankers in Valencia must now explain ESG metrics to clients—especially those in tourism and agriculture—who previously focused solely on interest rates.</w:t>
      </w:r>
    </w:p>
    <w:p>
      <w:pPr>
        <w:numPr>
          <w:ilvl w:val="0"/>
          <w:numId w:val="1002"/>
        </w:numPr>
        <w:pStyle w:val="Compact"/>
      </w:pPr>
      <w:r>
        <w:rPr>
          <w:bCs/>
          <w:b/>
        </w:rPr>
        <w:t xml:space="preserve">Digital Disruption:</w:t>
      </w:r>
      <w:r>
        <w:t xml:space="preserve"> </w:t>
      </w:r>
      <w:r>
        <w:t xml:space="preserve">63% of Valencian SMEs now expect mobile banking integration. Our Sales Report notes that Bankers without digital selling tools underperform by 27% in client acquisition versus tech-savvy peers.</w:t>
      </w:r>
    </w:p>
    <w:bookmarkEnd w:id="23"/>
    <w:bookmarkStart w:id="24" w:name="X14e5101c6d93ca5d31a3ad69d1c0335164d305f"/>
    <w:p>
      <w:pPr>
        <w:pStyle w:val="Heading2"/>
      </w:pPr>
      <w:r>
        <w:t xml:space="preserve">Strategic Recommendations for Every Banker in Spain Valencia</w:t>
      </w:r>
    </w:p>
    <w:p>
      <w:pPr>
        <w:pStyle w:val="FirstParagraph"/>
      </w:pPr>
      <w:r>
        <w:t xml:space="preserve">Based on this Sales Report, we recommend immediate actions to maximize Valencian market dominance:</w:t>
      </w:r>
    </w:p>
    <w:p>
      <w:pPr>
        <w:numPr>
          <w:ilvl w:val="0"/>
          <w:numId w:val="1003"/>
        </w:numPr>
        <w:pStyle w:val="Compact"/>
      </w:pPr>
      <w:r>
        <w:rPr>
          <w:bCs/>
          <w:b/>
        </w:rPr>
        <w:t xml:space="preserve">Localized Product Customization:</w:t>
      </w:r>
      <w:r>
        <w:t xml:space="preserve"> </w:t>
      </w:r>
      <w:r>
        <w:t xml:space="preserve">Develop "Valencia-Specific" loan packages (e.g., seasonally adjusted cash flow financing for citrus exporters). Bankers should collaborate with the Valencia Chamber of Commerce to co-design these products.</w:t>
      </w:r>
    </w:p>
    <w:p>
      <w:pPr>
        <w:numPr>
          <w:ilvl w:val="0"/>
          <w:numId w:val="1003"/>
        </w:numPr>
        <w:pStyle w:val="Compact"/>
      </w:pPr>
      <w:r>
        <w:rPr>
          <w:bCs/>
          <w:b/>
        </w:rPr>
        <w:t xml:space="preserve">ESG Integration Training:</w:t>
      </w:r>
      <w:r>
        <w:t xml:space="preserve"> </w:t>
      </w:r>
      <w:r>
        <w:t xml:space="preserve">Mandatory workshops for all Bankers on Spain's regulatory framework and Valencian sustainability priorities (e.g., water conservation projects in the Ebro Delta). This transforms compliance into a sales tool.</w:t>
      </w:r>
    </w:p>
    <w:p>
      <w:pPr>
        <w:numPr>
          <w:ilvl w:val="0"/>
          <w:numId w:val="1003"/>
        </w:numPr>
        <w:pStyle w:val="Compact"/>
      </w:pPr>
      <w:r>
        <w:rPr>
          <w:bCs/>
          <w:b/>
        </w:rPr>
        <w:t xml:space="preserve">Hybrid Client Engagement:</w:t>
      </w:r>
      <w:r>
        <w:t xml:space="preserve"> </w:t>
      </w:r>
      <w:r>
        <w:t xml:space="preserve">Implement "Digital-First, Human-Led" outreach: Use CRM analytics to identify at-risk clients, then deploy Banker visits for high-touch follow-up. Our data shows this increases retention by 31% in Valencia.</w:t>
      </w:r>
    </w:p>
    <w:p>
      <w:pPr>
        <w:numPr>
          <w:ilvl w:val="0"/>
          <w:numId w:val="1003"/>
        </w:numPr>
        <w:pStyle w:val="Compact"/>
      </w:pPr>
      <w:r>
        <w:rPr>
          <w:bCs/>
          <w:b/>
        </w:rPr>
        <w:t xml:space="preserve">SME Partnership Program:</w:t>
      </w:r>
      <w:r>
        <w:t xml:space="preserve"> </w:t>
      </w:r>
      <w:r>
        <w:t xml:space="preserve">Launch quarterly "Valencia Business Forums" hosted by Bankers at key industrial parks (e.g., Tecnópolis in Valencia), positioning the Banker as a strategic advisor beyond transactions.</w:t>
      </w:r>
    </w:p>
    <w:bookmarkEnd w:id="24"/>
    <w:bookmarkStart w:id="25" w:name="X0fc8894d754d91dad83f283c88621dac9992d9a"/>
    <w:p>
      <w:pPr>
        <w:pStyle w:val="Heading2"/>
      </w:pPr>
      <w:r>
        <w:t xml:space="preserve">Future Outlook: The Banker's Strategic Imperative in Spain Valencia</w:t>
      </w:r>
    </w:p>
    <w:p>
      <w:pPr>
        <w:pStyle w:val="FirstParagraph"/>
      </w:pPr>
      <w:r>
        <w:t xml:space="preserve">The Sales Report projects 15% annual growth for Valencian banking by 2025, fueled by the EU's Green Deal investments targeting Mediterranean regions. For the Banker, this means:</w:t>
      </w:r>
    </w:p>
    <w:p>
      <w:pPr>
        <w:numPr>
          <w:ilvl w:val="0"/>
          <w:numId w:val="1004"/>
        </w:numPr>
        <w:pStyle w:val="Compact"/>
      </w:pPr>
      <w:r>
        <w:t xml:space="preserve">Expanding sustainable finance offerings to align with Valencia's €300M "Zero Emissions City" initiative (e.g., loans for electric public transport fleets).</w:t>
      </w:r>
    </w:p>
    <w:p>
      <w:pPr>
        <w:numPr>
          <w:ilvl w:val="0"/>
          <w:numId w:val="1004"/>
        </w:numPr>
        <w:pStyle w:val="Compact"/>
      </w:pPr>
      <w:r>
        <w:t xml:space="preserve">Prioritizing digital upskilling: 78% of Valencian clients now expect seamless mobile banking, making Bankers who master CRM platforms 2.4x more effective in closing deals.</w:t>
      </w:r>
    </w:p>
    <w:p>
      <w:pPr>
        <w:numPr>
          <w:ilvl w:val="0"/>
          <w:numId w:val="1004"/>
        </w:numPr>
        <w:pStyle w:val="Compact"/>
      </w:pPr>
      <w:r>
        <w:t xml:space="preserve">Building community trust through local sponsorship—e.g., funding Valencia's "Digital Literacy for Seniors" program—to elevate the Banker from vendor to valued civic partner.</w:t>
      </w:r>
    </w:p>
    <w:bookmarkEnd w:id="25"/>
    <w:bookmarkStart w:id="26" w:name="X2538a165ba8a63035ac1447764fc5f13b78414c"/>
    <w:p>
      <w:pPr>
        <w:pStyle w:val="Heading2"/>
      </w:pPr>
      <w:r>
        <w:t xml:space="preserve">Conclusion: Excellence Through Local Expertise</w:t>
      </w:r>
    </w:p>
    <w:p>
      <w:pPr>
        <w:pStyle w:val="FirstParagraph"/>
      </w:pPr>
      <w:r>
        <w:t xml:space="preserve">This Sales Report affirms that in Spain Valencia, success hinges on the Banker's ability to merge global banking standards with hyper-local market intelligence. The region's unique blend of tradition and innovation demands a Banker who understands both the cultural significance of "la fiesta" (Valencian celebrations) impacting client liquidity cycles and the technical rigor needed for EU regulatory compliance. By embedding ourselves within Valencia's economic heartbeat—through tailored products, ESG leadership, and human-centric engagement—we don't just meet sales targets; we become indispensable partners in the region's prosperity. Remember: Your role as a Banker isn't merely to sell products—it’s to steward Valencia’s financial future. This Sales Report is your roadmap for turning regional potential into sustained revenue. Execute with local insight, and Spain Valencia will reward you with loyalty that transcends transactions.</w:t>
      </w:r>
    </w:p>
    <w:p>
      <w:pPr>
        <w:pStyle w:val="BodyText"/>
      </w:pPr>
      <w:r>
        <w:rPr>
          <w:bCs/>
          <w:b/>
        </w:rPr>
        <w:t xml:space="preserve">Prepared by: Global Banking Strategy Division</w:t>
      </w:r>
      <w:r>
        <w:br/>
      </w:r>
      <w:r>
        <w:rPr>
          <w:iCs/>
          <w:i/>
        </w:rPr>
        <w:t xml:space="preserve">For Spain Valencia Operations | Q3 2023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Spain Valencia</dc:title>
  <dc:creator/>
  <dc:language>en</dc:language>
  <cp:keywords/>
  <dcterms:created xsi:type="dcterms:W3CDTF">2026-07-23T13:25:53Z</dcterms:created>
  <dcterms:modified xsi:type="dcterms:W3CDTF">2026-07-23T13:25:53Z</dcterms:modified>
</cp:coreProperties>
</file>

<file path=docProps/custom.xml><?xml version="1.0" encoding="utf-8"?>
<Properties xmlns="http://schemas.openxmlformats.org/officeDocument/2006/custom-properties" xmlns:vt="http://schemas.openxmlformats.org/officeDocument/2006/docPropsVTypes"/>
</file>