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Zurich</w:t>
      </w:r>
      <w:r>
        <w:t xml:space="preserve"> </w:t>
      </w:r>
      <w:r>
        <w:t xml:space="preserve">Banking</w:t>
      </w:r>
      <w:r>
        <w:t xml:space="preserve"> </w:t>
      </w:r>
      <w:r>
        <w:t xml:space="preserve">Excellence</w:t>
      </w:r>
    </w:p>
    <w:bookmarkStart w:id="27" w:name="q3-2024-sales-report"/>
    <w:p>
      <w:pPr>
        <w:pStyle w:val="Heading1"/>
      </w:pPr>
      <w:r>
        <w:t xml:space="preserve">Q3 2024 Sales Report</w:t>
      </w:r>
    </w:p>
    <w:bookmarkStart w:id="26" w:name="X903f1ff84d9010a3ba9e73b245f66f70c9e150d"/>
    <w:p>
      <w:pPr>
        <w:pStyle w:val="Heading2"/>
      </w:pPr>
      <w:r>
        <w:t xml:space="preserve">Strategic Performance of the Zurich Wealth Management Division</w:t>
      </w:r>
    </w:p>
    <w:p>
      <w:pPr>
        <w:pStyle w:val="FirstParagraph"/>
      </w:pPr>
      <w:r>
        <w:rPr>
          <w:bCs/>
          <w:b/>
        </w:rPr>
        <w:t xml:space="preserve">Date:</w:t>
      </w:r>
      <w:r>
        <w:t xml:space="preserve"> </w:t>
      </w:r>
      <w:r>
        <w:t xml:space="preserve">October 15, 2024</w:t>
      </w:r>
      <w:r>
        <w:br/>
      </w:r>
      <w:r>
        <w:rPr>
          <w:bCs/>
          <w:b/>
        </w:rPr>
        <w:t xml:space="preserve">Prepared For:</w:t>
      </w:r>
      <w:r>
        <w:t xml:space="preserve"> </w:t>
      </w:r>
      <w:r>
        <w:t xml:space="preserve">Executive Board, Swiss Financial Institutions Group</w:t>
      </w:r>
      <w:r>
        <w:br/>
      </w:r>
      <w:r>
        <w:rPr>
          <w:bCs/>
          <w:b/>
        </w:rPr>
        <w:t xml:space="preserve">Location:</w:t>
      </w:r>
      <w:r>
        <w:t xml:space="preserve"> </w:t>
      </w:r>
      <w:r>
        <w:t xml:space="preserve">Zurich, Switzerland</w:t>
      </w:r>
    </w:p>
    <w:bookmarkStart w:id="20" w:name="executive-summary"/>
    <w:p>
      <w:pPr>
        <w:pStyle w:val="Heading3"/>
      </w:pPr>
      <w:r>
        <w:t xml:space="preserve">Executive Summary</w:t>
      </w:r>
    </w:p>
    <w:p>
      <w:pPr>
        <w:pStyle w:val="FirstParagraph"/>
      </w:pPr>
      <w:r>
        <w:t xml:space="preserve">This Sales Report details the performance of our Zurich-based wealth management division during Q3 2024. As a premier financial institution operating within Switzerland Zurich's dynamic banking ecosystem, we achieved remarkable growth under the strategic leadership of our dedicated Banker team. The division surpassed quarterly revenue targets by 12.7%, securing CHF 48.6M in new assets under management (AUM). This success underscores the pivotal role of our Banker professionals in navigating Switzerland's stringent financial regulations while delivering exceptional client-centric solutions.</w:t>
      </w:r>
    </w:p>
    <w:bookmarkEnd w:id="20"/>
    <w:bookmarkStart w:id="21" w:name="key-performance-indicators-q3-2024"/>
    <w:p>
      <w:pPr>
        <w:pStyle w:val="Heading3"/>
      </w:pPr>
      <w:r>
        <w:t xml:space="preserve">Key Performance Indicators (Q3 2024)</w:t>
      </w:r>
    </w:p>
    <w:p>
      <w:pPr>
        <w:pStyle w:val="FirstParagraph"/>
      </w:pPr>
      <w:r>
        <w:t xml:space="preserve">Metric</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New Client Acquisition (HNI/ULTRA)</w:t>
      </w:r>
    </w:p>
    <w:p>
      <w:pPr>
        <w:pStyle w:val="BodyText"/>
      </w:pPr>
      <w:r>
        <w:t xml:space="preserve">37 new clients</w:t>
      </w:r>
    </w:p>
    <w:p>
      <w:pPr>
        <w:pStyle w:val="BodyText"/>
      </w:pPr>
      <w:r>
        <w:t xml:space="preserve">31 new clients</w:t>
      </w:r>
    </w:p>
    <w:p>
      <w:pPr>
        <w:pStyle w:val="BodyText"/>
      </w:pPr>
      <w:r>
        <w:t xml:space="preserve">+19.4%</w:t>
      </w:r>
    </w:p>
    <w:p>
      <w:pPr>
        <w:pStyle w:val="BodyText"/>
      </w:pPr>
      <w:r>
        <w:t xml:space="preserve">AUM Growth (CHF)</w:t>
      </w:r>
    </w:p>
    <w:p>
      <w:pPr>
        <w:pStyle w:val="BodyText"/>
      </w:pPr>
      <w:r>
        <w:t xml:space="preserve">48.6M</w:t>
      </w:r>
    </w:p>
    <w:p>
      <w:pPr>
        <w:pStyle w:val="BodyText"/>
      </w:pPr>
      <w:r>
        <w:t xml:space="preserve">42.3M</w:t>
      </w:r>
    </w:p>
    <w:p>
      <w:pPr>
        <w:pStyle w:val="BodyText"/>
      </w:pPr>
      <w:r>
        <w:t xml:space="preserve">+14.9%</w:t>
      </w:r>
    </w:p>
    <w:p>
      <w:pPr>
        <w:pStyle w:val="BodyText"/>
      </w:pPr>
      <w:r>
        <w:t xml:space="preserve">Cross-Sell Ratio (Products/Client)</w:t>
      </w:r>
    </w:p>
    <w:p>
      <w:pPr>
        <w:pStyle w:val="BodyText"/>
      </w:pPr>
      <w:r>
        <w:t xml:space="preserve">3.8</w:t>
      </w:r>
    </w:p>
    <w:p>
      <w:pPr>
        <w:pStyle w:val="BodyText"/>
      </w:pPr>
      <w:r>
        <w:t xml:space="preserve">3.2</w:t>
      </w:r>
    </w:p>
    <w:p>
      <w:pPr>
        <w:pStyle w:val="BodyText"/>
      </w:pPr>
      <w:r>
        <w:t xml:space="preserve">+18.8%</w:t>
      </w:r>
    </w:p>
    <w:p>
      <w:pPr>
        <w:pStyle w:val="BodyText"/>
      </w:pPr>
      <w:r>
        <w:t xml:space="preserve">Client Retention Rate</w:t>
      </w:r>
    </w:p>
    <w:p>
      <w:pPr>
        <w:pStyle w:val="BodyText"/>
      </w:pPr>
      <w:r>
        <w:t xml:space="preserve">97.2%</w:t>
      </w:r>
    </w:p>
    <w:bookmarkEnd w:id="21"/>
    <w:bookmarkStart w:id="22" w:name="switzerland-zurich-market-analysis"/>
    <w:p>
      <w:pPr>
        <w:pStyle w:val="Heading3"/>
      </w:pPr>
      <w:r>
        <w:t xml:space="preserve">Switzerland Zurich Market Analysis</w:t>
      </w:r>
    </w:p>
    <w:p>
      <w:pPr>
        <w:pStyle w:val="FirstParagraph"/>
      </w:pPr>
      <w:r>
        <w:t xml:space="preserve">The Swiss banking landscape in Zurich remains fiercely competitive yet exceptionally rewarding for institutions prioritizing regulatory excellence and personalized service. As the heart of Switzerland's financial hub, Zurich demands Banker professionals who understand both the nuances of local fiduciary laws (including FINMA compliance) and global investment trends. Our Q3 performance reflects strategic alignment with this unique market:</w:t>
      </w:r>
    </w:p>
    <w:p>
      <w:pPr>
        <w:numPr>
          <w:ilvl w:val="0"/>
          <w:numId w:val="1001"/>
        </w:numPr>
        <w:pStyle w:val="Compact"/>
      </w:pPr>
      <w:r>
        <w:rPr>
          <w:bCs/>
          <w:b/>
        </w:rPr>
        <w:t xml:space="preserve">Regulatory Agility:</w:t>
      </w:r>
      <w:r>
        <w:t xml:space="preserve"> </w:t>
      </w:r>
      <w:r>
        <w:t xml:space="preserve">All Banker teams completed mandatory FINMA updates on crypto asset regulations (effective July 1), enabling us to offer compliant digital wealth solutions that attracted CHF 18.3M in new institutional capital.</w:t>
      </w:r>
    </w:p>
    <w:p>
      <w:pPr>
        <w:numPr>
          <w:ilvl w:val="0"/>
          <w:numId w:val="1001"/>
        </w:numPr>
        <w:pStyle w:val="Compact"/>
      </w:pPr>
      <w:r>
        <w:rPr>
          <w:bCs/>
          <w:b/>
        </w:rPr>
        <w:t xml:space="preserve">Client Expectations:</w:t>
      </w:r>
      <w:r>
        <w:t xml:space="preserve"> </w:t>
      </w:r>
      <w:r>
        <w:t xml:space="preserve">Zurich-based UHNWIs increasingly seek integrated ESG portfolios. Our Banker team executed 22 ESG-focused mandates, representing 34% of new AUM – significantly above industry average (19%).</w:t>
      </w:r>
    </w:p>
    <w:p>
      <w:pPr>
        <w:numPr>
          <w:ilvl w:val="0"/>
          <w:numId w:val="1001"/>
        </w:numPr>
        <w:pStyle w:val="Compact"/>
      </w:pPr>
      <w:r>
        <w:rPr>
          <w:bCs/>
          <w:b/>
        </w:rPr>
        <w:t xml:space="preserve">Tax Optimization:</w:t>
      </w:r>
      <w:r>
        <w:t xml:space="preserve"> </w:t>
      </w:r>
      <w:r>
        <w:t xml:space="preserve">Leveraging Switzerland's bilateral tax treaties, our Bankers secured CHF 7.8M in cross-border wealth structuring for German and French clients during Q3.</w:t>
      </w:r>
    </w:p>
    <w:bookmarkEnd w:id="22"/>
    <w:bookmarkStart w:id="23" w:name="banker-performance-highlights"/>
    <w:p>
      <w:pPr>
        <w:pStyle w:val="Heading3"/>
      </w:pPr>
      <w:r>
        <w:t xml:space="preserve">Banker Performance Highlights</w:t>
      </w:r>
    </w:p>
    <w:p>
      <w:pPr>
        <w:pStyle w:val="FirstParagraph"/>
      </w:pPr>
      <w:r>
        <w:t xml:space="preserve">Our Zurich-based Banker professionals were instrumental in driving this success through three key strategies:</w:t>
      </w:r>
    </w:p>
    <w:p>
      <w:pPr>
        <w:numPr>
          <w:ilvl w:val="0"/>
          <w:numId w:val="1002"/>
        </w:numPr>
        <w:pStyle w:val="Compact"/>
      </w:pPr>
      <w:r>
        <w:rPr>
          <w:bCs/>
          <w:b/>
        </w:rPr>
        <w:t xml:space="preserve">Hyper-Personalized Client Journeys:</w:t>
      </w:r>
      <w:r>
        <w:t xml:space="preserve"> </w:t>
      </w:r>
      <w:r>
        <w:t xml:space="preserve">Each Banker developed bespoke wealth roadmaps using Zurich’s exclusive client data ecosystem. For example, Senior Banker Clara Vogel (Zurich Office) secured a CHF 5.2M mandate by integrating family succession planning with tax-efficient private equity allocations for a Geneva-based industrial dynasty.</w:t>
      </w:r>
    </w:p>
    <w:p>
      <w:pPr>
        <w:numPr>
          <w:ilvl w:val="0"/>
          <w:numId w:val="1002"/>
        </w:numPr>
        <w:pStyle w:val="Compact"/>
      </w:pPr>
      <w:r>
        <w:rPr>
          <w:bCs/>
          <w:b/>
        </w:rPr>
        <w:t xml:space="preserve">Network Expansion:</w:t>
      </w:r>
      <w:r>
        <w:t xml:space="preserve"> </w:t>
      </w:r>
      <w:r>
        <w:t xml:space="preserve">The Zurich Banker team cultivated 17 new strategic partnerships with Zurich-based legal firms and family offices, generating CHF 9.4M in referral business – a 31% increase from Q2.</w:t>
      </w:r>
    </w:p>
    <w:p>
      <w:pPr>
        <w:numPr>
          <w:ilvl w:val="0"/>
          <w:numId w:val="1002"/>
        </w:numPr>
        <w:pStyle w:val="Compact"/>
      </w:pPr>
      <w:r>
        <w:rPr>
          <w:bCs/>
          <w:b/>
        </w:rPr>
        <w:t xml:space="preserve">Tech-Enabled Relationship Management:</w:t>
      </w:r>
      <w:r>
        <w:t xml:space="preserve"> </w:t>
      </w:r>
      <w:r>
        <w:t xml:space="preserve">Implementation of our AI-powered "Zurich Insights" platform allowed Bankers to anticipate client needs. This reduced response times by 40% and enabled timely portfolio adjustments during September’s market volatility, retaining all 15 clients with assets over CHF 20M.</w:t>
      </w:r>
    </w:p>
    <w:bookmarkEnd w:id="23"/>
    <w:bookmarkStart w:id="24" w:name="challenges-and-strategic-opportunities"/>
    <w:p>
      <w:pPr>
        <w:pStyle w:val="Heading3"/>
      </w:pPr>
      <w:r>
        <w:t xml:space="preserve">Challenges and Strategic Opportunities</w:t>
      </w:r>
    </w:p>
    <w:p>
      <w:pPr>
        <w:pStyle w:val="FirstParagraph"/>
      </w:pPr>
      <w:r>
        <w:t xml:space="preserve">Despite strong results, two challenges emerged requiring immediate attention:</w:t>
      </w:r>
    </w:p>
    <w:p>
      <w:pPr>
        <w:numPr>
          <w:ilvl w:val="0"/>
          <w:numId w:val="1003"/>
        </w:numPr>
        <w:pStyle w:val="Compact"/>
      </w:pPr>
      <w:r>
        <w:rPr>
          <w:bCs/>
          <w:b/>
        </w:rPr>
        <w:t xml:space="preserve">Competitive Pressure:</w:t>
      </w:r>
      <w:r>
        <w:t xml:space="preserve"> </w:t>
      </w:r>
      <w:r>
        <w:t xml:space="preserve">Increased activity from Zurich-based private banks offering zero-fee account structures. Countermeasure: We introduced tiered "Zurich Premium" service packages with enhanced digital access (launched August 15), now adopted by 68% of new clients.</w:t>
      </w:r>
    </w:p>
    <w:p>
      <w:pPr>
        <w:numPr>
          <w:ilvl w:val="0"/>
          <w:numId w:val="1003"/>
        </w:numPr>
        <w:pStyle w:val="Compact"/>
      </w:pPr>
      <w:r>
        <w:rPr>
          <w:bCs/>
          <w:b/>
        </w:rPr>
        <w:t xml:space="preserve">Regulatory Complexity:</w:t>
      </w:r>
      <w:r>
        <w:t xml:space="preserve"> </w:t>
      </w:r>
      <w:r>
        <w:t xml:space="preserve">New MiFID II reporting requirements increased administrative burden by 22%. Solution: Our Zurich Banker team co-developed a FINMA-compliant automated reporting tool with the Compliance department, saving 15+ hours/week per banker.</w:t>
      </w:r>
    </w:p>
    <w:p>
      <w:pPr>
        <w:pStyle w:val="FirstParagraph"/>
      </w:pPr>
      <w:r>
        <w:t xml:space="preserve">Opportunities for Q4 include capitalizing on Switzerland Zurich's growing interest in sustainable finance. With 73% of Zurich-based HNWIs expressing interest in carbon-neutral portfolios (source: Credit Suisse Wealth Report), we will launch our "Zurich Green Horizon" initiative, backed by a dedicated Banker task force.</w:t>
      </w:r>
    </w:p>
    <w:bookmarkEnd w:id="24"/>
    <w:bookmarkStart w:id="25" w:name="conclusion"/>
    <w:p>
      <w:pPr>
        <w:pStyle w:val="Heading3"/>
      </w:pPr>
      <w:r>
        <w:t xml:space="preserve">Conclusion</w:t>
      </w:r>
    </w:p>
    <w:p>
      <w:pPr>
        <w:pStyle w:val="FirstParagraph"/>
      </w:pPr>
      <w:r>
        <w:t xml:space="preserve">This Sales Report reaffirms that Zurich remains the cornerstone of our Swiss banking strategy. The exceptional performance achieved by our Banker professionals demonstrates how deep market knowledge, regulatory mastery, and client intimacy drive sustainable growth in Switzerland Zurich's elite financial ecosystem. As we enter Q4, we remain committed to elevating our Banker excellence – not merely as sales drivers but as trusted partners shaping the future of wealth management in Switzerland Zurich.</w:t>
      </w:r>
    </w:p>
    <w:p>
      <w:pPr>
        <w:pStyle w:val="BodyText"/>
      </w:pPr>
      <w:r>
        <w:t xml:space="preserve">"In Zurich's competitive landscape, a true Banker is defined not by transaction volume, but by the trust cultivated over decades. Our success this quarter proves that in Switzerland, relationships are the ultimate asset." –</w:t>
      </w:r>
      <w:r>
        <w:t xml:space="preserve"> </w:t>
      </w:r>
      <w:r>
        <w:rPr>
          <w:iCs/>
          <w:i/>
        </w:rPr>
        <w:t xml:space="preserve">Thomas Meier, Head of Wealth Management (Zurich)</w:t>
      </w:r>
    </w:p>
    <w:p>
      <w:pPr>
        <w:pStyle w:val="BodyText"/>
      </w:pPr>
      <w:r>
        <w:rPr>
          <w:bCs/>
          <w:b/>
        </w:rPr>
        <w:t xml:space="preserve">Prepared by:</w:t>
      </w:r>
      <w:r>
        <w:t xml:space="preserve"> </w:t>
      </w:r>
      <w:r>
        <w:t xml:space="preserve">Zurich Sales Strategy Division</w:t>
      </w:r>
      <w:r>
        <w:br/>
      </w:r>
      <w:r>
        <w:rPr>
          <w:bCs/>
          <w:b/>
        </w:rPr>
        <w:t xml:space="preserve">Confidential – For Internal Use Only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Zurich Banking Excellence</dc:title>
  <dc:creator/>
  <dc:language>en</dc:language>
  <cp:keywords/>
  <dcterms:created xsi:type="dcterms:W3CDTF">2026-07-23T22:18:48Z</dcterms:created>
  <dcterms:modified xsi:type="dcterms:W3CDTF">2026-07-23T22:18:48Z</dcterms:modified>
</cp:coreProperties>
</file>

<file path=docProps/custom.xml><?xml version="1.0" encoding="utf-8"?>
<Properties xmlns="http://schemas.openxmlformats.org/officeDocument/2006/custom-properties" xmlns:vt="http://schemas.openxmlformats.org/officeDocument/2006/docPropsVTypes"/>
</file>