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Strategic</w:t>
      </w:r>
      <w:r>
        <w:t xml:space="preserve"> </w:t>
      </w:r>
      <w:r>
        <w:t xml:space="preserve">Performance</w:t>
      </w:r>
      <w:r>
        <w:t xml:space="preserve"> </w:t>
      </w:r>
      <w:r>
        <w:t xml:space="preserve">of</w:t>
      </w:r>
      <w:r>
        <w:t xml:space="preserve"> </w:t>
      </w:r>
      <w:r>
        <w:t xml:space="preserve">Bankers</w:t>
      </w:r>
      <w:r>
        <w:t xml:space="preserve"> </w:t>
      </w:r>
      <w:r>
        <w:t xml:space="preserve">in</w:t>
      </w:r>
      <w:r>
        <w:t xml:space="preserve"> </w:t>
      </w:r>
      <w:r>
        <w:t xml:space="preserve">Thailand</w:t>
      </w:r>
      <w:r>
        <w:t xml:space="preserve"> </w:t>
      </w:r>
      <w:r>
        <w:t xml:space="preserve">Bangkok</w:t>
      </w:r>
    </w:p>
    <w:bookmarkStart w:id="27" w:name="Xa4d9b5c7f0ce4d25f697541fc183d0679ff728b"/>
    <w:p>
      <w:pPr>
        <w:pStyle w:val="Heading1"/>
      </w:pPr>
      <w:r>
        <w:t xml:space="preserve">Q3 2024 Sales Report: Strategic Performance Analysis of Bankers in the Thailand Bangkok Financial Market</w:t>
      </w:r>
    </w:p>
    <w:bookmarkStart w:id="20" w:name="executive-summary"/>
    <w:p>
      <w:pPr>
        <w:pStyle w:val="Heading2"/>
      </w:pPr>
      <w:r>
        <w:t xml:space="preserve">Executive Summary</w:t>
      </w:r>
    </w:p>
    <w:p>
      <w:pPr>
        <w:pStyle w:val="FirstParagraph"/>
      </w:pPr>
      <w:r>
        <w:t xml:space="preserve">This comprehensive Sales Report evaluates the performance trajectory of banking professionals ("Bankers") operating within the dynamic financial ecosystem of Thailand Bangkok. As one of Southeast Asia's most vibrant economic hubs, Bangkok serves as a critical nerve center for regional banking activities. This report details Q3 2024 sales metrics, market insights, strategic challenges faced by Bankers in Thailand Bangkok, and actionable recommendations to capitalize on emerging opportunities within this high-stakes environment.</w:t>
      </w:r>
    </w:p>
    <w:bookmarkEnd w:id="20"/>
    <w:bookmarkStart w:id="21" w:name="Xb7f78b184b30f01053dac7a68bd6db9c8c614ac"/>
    <w:p>
      <w:pPr>
        <w:pStyle w:val="Heading2"/>
      </w:pPr>
      <w:r>
        <w:t xml:space="preserve">Market Context: The Thailand Bangkok Banking Landscape</w:t>
      </w:r>
    </w:p>
    <w:p>
      <w:pPr>
        <w:pStyle w:val="FirstParagraph"/>
      </w:pPr>
      <w:r>
        <w:t xml:space="preserve">Thailand Bangkok remains a pivotal financial center for ASEAN, boasting over 50 licensed commercial banks with significant international presence. The city’s unique blend of traditional Thai business culture and modern global finance creates both opportunities and complexities for every Banker navigating the market. Recent economic indicators show strong recovery in tourism (exceeding 2019 levels by 8%) and robust manufacturing exports, directly impacting corporate banking demand. However, Bangkok's competitive landscape – featuring established local banks like Siam Commercial Bank (SCB) and Krungthai Bank alongside global giants like HSBC Bangkok – demands exceptional client-centric strategies from every Sales Banker.</w:t>
      </w:r>
    </w:p>
    <w:bookmarkEnd w:id="21"/>
    <w:bookmarkStart w:id="23" w:name="q3-2024-sales-performance-key-metrics"/>
    <w:p>
      <w:pPr>
        <w:pStyle w:val="Heading2"/>
      </w:pPr>
      <w:r>
        <w:t xml:space="preserve">Q3 2024 Sales Performance: Key Metrics</w:t>
      </w:r>
    </w:p>
    <w:p>
      <w:pPr>
        <w:pStyle w:val="FirstParagraph"/>
      </w:pPr>
      <w:r>
        <w:t xml:space="preserve">Our analysis reveals a 14.7% year-over-year growth in new corporate account acquisitions by Bankers operating across Thailand Bangkok, outperforming the regional average of 9.3%. This success is primarily attributed to three strategic initiatives:</w:t>
      </w:r>
    </w:p>
    <w:p>
      <w:pPr>
        <w:numPr>
          <w:ilvl w:val="0"/>
          <w:numId w:val="1001"/>
        </w:numPr>
        <w:pStyle w:val="Compact"/>
      </w:pPr>
      <w:r>
        <w:rPr>
          <w:bCs/>
          <w:b/>
        </w:rPr>
        <w:t xml:space="preserve">Hyper-Localized Client Engagement:</w:t>
      </w:r>
      <w:r>
        <w:t xml:space="preserve"> </w:t>
      </w:r>
      <w:r>
        <w:t xml:space="preserve">Bankers successfully tailored solutions for Thai SMEs emerging from pandemic recovery, particularly in tourism infrastructure and export-oriented manufacturing. For example, a Bangkok-based Corporate Banker secured a THB 250 million facility for a Chiang Mai hospitality group expanding into digital experience platforms.</w:t>
      </w:r>
    </w:p>
    <w:p>
      <w:pPr>
        <w:numPr>
          <w:ilvl w:val="0"/>
          <w:numId w:val="1001"/>
        </w:numPr>
        <w:pStyle w:val="Compact"/>
      </w:pPr>
      <w:r>
        <w:rPr>
          <w:bCs/>
          <w:b/>
        </w:rPr>
        <w:t xml:space="preserve">Digital Integration:</w:t>
      </w:r>
      <w:r>
        <w:t xml:space="preserve"> </w:t>
      </w:r>
      <w:r>
        <w:t xml:space="preserve">Adoption of Thailand-specific fintech partnerships (e.g., integration with PromptPay for instant settlements) by Bankers significantly accelerated transaction velocity. Client onboarding times reduced by 35% compared to Q2, directly boosting sales pipeline velocity in Bangkok.</w:t>
      </w:r>
    </w:p>
    <w:p>
      <w:pPr>
        <w:numPr>
          <w:ilvl w:val="0"/>
          <w:numId w:val="1001"/>
        </w:numPr>
        <w:pStyle w:val="Compact"/>
      </w:pPr>
      <w:r>
        <w:rPr>
          <w:bCs/>
          <w:b/>
        </w:rPr>
        <w:t xml:space="preserve">Strategic Cross-Selling:</w:t>
      </w:r>
      <w:r>
        <w:t xml:space="preserve"> </w:t>
      </w:r>
      <w:r>
        <w:t xml:space="preserve">Bankers demonstrated exceptional skill in bundling trade finance with treasury solutions for Thai exporters, increasing average relationship value by 22% within the Bangkok client base.</w:t>
      </w:r>
    </w:p>
    <w:bookmarkStart w:id="22" w:name="X59610ab9da46e6911ae2cb3f5d6190ed89772e1"/>
    <w:p>
      <w:pPr>
        <w:pStyle w:val="Heading3"/>
      </w:pPr>
      <w:r>
        <w:t xml:space="preserve">Regional Performance Breakdown (Thailand Bangkok Focus)</w:t>
      </w:r>
    </w:p>
    <w:p>
      <w:pPr>
        <w:pStyle w:val="FirstParagraph"/>
      </w:pPr>
      <w:r>
        <w:t xml:space="preserve">Key Metric</w:t>
      </w:r>
    </w:p>
    <w:p>
      <w:pPr>
        <w:pStyle w:val="BodyText"/>
      </w:pPr>
      <w:r>
        <w:t xml:space="preserve">Bangkok Performance</w:t>
      </w:r>
    </w:p>
    <w:p>
      <w:pPr>
        <w:pStyle w:val="BodyText"/>
      </w:pPr>
      <w:r>
        <w:t xml:space="preserve">Thailand National Average</w:t>
      </w:r>
    </w:p>
    <w:p>
      <w:pPr>
        <w:pStyle w:val="BodyText"/>
      </w:pPr>
      <w:r>
        <w:t xml:space="preserve">YoY Change (Q3 2023)</w:t>
      </w:r>
    </w:p>
    <w:p>
      <w:pPr>
        <w:pStyle w:val="BodyText"/>
      </w:pPr>
      <w:r>
        <w:t xml:space="preserve">New Corporate Accounts (Q3)</w:t>
      </w:r>
    </w:p>
    <w:p>
      <w:pPr>
        <w:pStyle w:val="BodyText"/>
      </w:pPr>
      <w:r>
        <w:t xml:space="preserve">87</w:t>
      </w:r>
    </w:p>
    <w:p>
      <w:pPr>
        <w:pStyle w:val="BodyText"/>
      </w:pPr>
      <w:r>
        <w:t xml:space="preserve">62</w:t>
      </w:r>
    </w:p>
    <w:p>
      <w:pPr>
        <w:pStyle w:val="BodyText"/>
      </w:pPr>
      <w:r>
        <w:t xml:space="preserve">+41.9%</w:t>
      </w:r>
    </w:p>
    <w:p>
      <w:pPr>
        <w:pStyle w:val="BodyText"/>
      </w:pPr>
      <w:r>
        <w:t xml:space="preserve">Avg. Deal Size (THB)</w:t>
      </w:r>
    </w:p>
    <w:p>
      <w:pPr>
        <w:pStyle w:val="BodyText"/>
      </w:pPr>
      <w:r>
        <w:t xml:space="preserve">28,500,000</w:t>
      </w:r>
    </w:p>
    <w:p>
      <w:pPr>
        <w:pStyle w:val="BodyText"/>
      </w:pPr>
      <w:r>
        <w:t xml:space="preserve">21,350,000</w:t>
      </w:r>
    </w:p>
    <w:p>
      <w:pPr>
        <w:pStyle w:val="BodyText"/>
      </w:pPr>
      <w:r>
        <w:t xml:space="preserve">+33.5%</w:t>
      </w:r>
    </w:p>
    <w:p>
      <w:pPr>
        <w:pStyle w:val="BodyText"/>
      </w:pPr>
      <w:r>
        <w:t xml:space="preserve">Cross-Sell Ratio (Products/Client)</w:t>
      </w:r>
    </w:p>
    <w:p>
      <w:pPr>
        <w:pStyle w:val="BodyText"/>
      </w:pPr>
      <w:r>
        <w:t xml:space="preserve">4.2</w:t>
      </w:r>
    </w:p>
    <w:p>
      <w:pPr>
        <w:pStyle w:val="BodyText"/>
      </w:pPr>
      <w:r>
        <w:t xml:space="preserve">3.1</w:t>
      </w:r>
    </w:p>
    <w:p>
      <w:pPr>
        <w:pStyle w:val="BodyText"/>
      </w:pPr>
      <w:r>
        <w:t xml:space="preserve">+35.5%</w:t>
      </w:r>
    </w:p>
    <w:bookmarkEnd w:id="22"/>
    <w:bookmarkEnd w:id="23"/>
    <w:bookmarkStart w:id="24" w:name="X345129d8b57a19590f1cea331d4048a8b3a1020"/>
    <w:p>
      <w:pPr>
        <w:pStyle w:val="Heading2"/>
      </w:pPr>
      <w:r>
        <w:t xml:space="preserve">Strategic Challenges Faced by Bankers in Thailand Bangkok</w:t>
      </w:r>
    </w:p>
    <w:p>
      <w:pPr>
        <w:pStyle w:val="FirstParagraph"/>
      </w:pPr>
      <w:r>
        <w:t xml:space="preserve">Despite strong performance, our Sales Report identifies critical challenges unique to the Bangkok market:</w:t>
      </w:r>
    </w:p>
    <w:p>
      <w:pPr>
        <w:numPr>
          <w:ilvl w:val="0"/>
          <w:numId w:val="1002"/>
        </w:numPr>
        <w:pStyle w:val="Compact"/>
      </w:pPr>
      <w:r>
        <w:rPr>
          <w:bCs/>
          <w:b/>
        </w:rPr>
        <w:t xml:space="preserve">Cultural Nuance Navigation:</w:t>
      </w:r>
      <w:r>
        <w:t xml:space="preserve"> </w:t>
      </w:r>
      <w:r>
        <w:t xml:space="preserve">68% of surveyed Thai clients cited "relationship depth" as more critical than product features. Bankers who invested in understanding Thai business etiquette (e.g., morning tea rituals, hierarchical decision-making) achieved 2.3x higher conversion rates in Bangkok.</w:t>
      </w:r>
    </w:p>
    <w:p>
      <w:pPr>
        <w:numPr>
          <w:ilvl w:val="0"/>
          <w:numId w:val="1002"/>
        </w:numPr>
        <w:pStyle w:val="Compact"/>
      </w:pPr>
      <w:r>
        <w:rPr>
          <w:bCs/>
          <w:b/>
        </w:rPr>
        <w:t xml:space="preserve">Regulatory Agility:</w:t>
      </w:r>
      <w:r>
        <w:t xml:space="preserve"> </w:t>
      </w:r>
      <w:r>
        <w:t xml:space="preserve">Thailand's evolving digital banking regulations required Bankers to rapidly adapt client solutions, especially around the new Payment System Act. Bangkok-based Bankers who proactively engaged with BOT (Bank of Thailand) forums gained significant competitive advantage.</w:t>
      </w:r>
    </w:p>
    <w:p>
      <w:pPr>
        <w:numPr>
          <w:ilvl w:val="0"/>
          <w:numId w:val="1002"/>
        </w:numPr>
        <w:pStyle w:val="Compact"/>
      </w:pPr>
      <w:r>
        <w:rPr>
          <w:bCs/>
          <w:b/>
        </w:rPr>
        <w:t xml:space="preserve">Talent Retention in Competitive Market:</w:t>
      </w:r>
      <w:r>
        <w:t xml:space="preserve"> </w:t>
      </w:r>
      <w:r>
        <w:t xml:space="preserve">High attrition rates among mid-level Thai Bankers due to competing offers from fintechs and global banks threaten consistent client coverage in the Bangkok market.</w:t>
      </w:r>
    </w:p>
    <w:bookmarkEnd w:id="24"/>
    <w:bookmarkStart w:id="25" w:name="X96ebf1fd5e2b222d7cef9a9da46759036b9ca0b"/>
    <w:p>
      <w:pPr>
        <w:pStyle w:val="Heading2"/>
      </w:pPr>
      <w:r>
        <w:t xml:space="preserve">Strategic Recommendations for Bangkok Bankers</w:t>
      </w:r>
    </w:p>
    <w:p>
      <w:pPr>
        <w:pStyle w:val="FirstParagraph"/>
      </w:pPr>
      <w:r>
        <w:t xml:space="preserve">To sustain growth and strengthen our position in Thailand Bangkok, this Sales Report recommends:</w:t>
      </w:r>
    </w:p>
    <w:p>
      <w:pPr>
        <w:numPr>
          <w:ilvl w:val="0"/>
          <w:numId w:val="1003"/>
        </w:numPr>
        <w:pStyle w:val="Compact"/>
      </w:pPr>
      <w:r>
        <w:rPr>
          <w:bCs/>
          <w:b/>
        </w:rPr>
        <w:t xml:space="preserve">Implement "Cultural Intelligence" Training:</w:t>
      </w:r>
      <w:r>
        <w:t xml:space="preserve"> </w:t>
      </w:r>
      <w:r>
        <w:t xml:space="preserve">Mandatory workshops on Thai business customs for all Bankers serving the Thailand Bangkok market, including negotiation protocols and relationship-building frameworks unique to Southeast Asian finance.</w:t>
      </w:r>
    </w:p>
    <w:p>
      <w:pPr>
        <w:numPr>
          <w:ilvl w:val="0"/>
          <w:numId w:val="1003"/>
        </w:numPr>
        <w:pStyle w:val="Compact"/>
      </w:pPr>
      <w:r>
        <w:rPr>
          <w:bCs/>
          <w:b/>
        </w:rPr>
        <w:t xml:space="preserve">Develop Bangkok-Specific Digital Platforms:</w:t>
      </w:r>
      <w:r>
        <w:t xml:space="preserve"> </w:t>
      </w:r>
      <w:r>
        <w:t xml:space="preserve">Create localized mobile banking portals in Thai language with features mirroring popular local payment apps (e.g., PromptPay integration), reducing onboarding friction for Thai clients.</w:t>
      </w:r>
    </w:p>
    <w:p>
      <w:pPr>
        <w:numPr>
          <w:ilvl w:val="0"/>
          <w:numId w:val="1003"/>
        </w:numPr>
        <w:pStyle w:val="Compact"/>
      </w:pPr>
      <w:r>
        <w:rPr>
          <w:bCs/>
          <w:b/>
        </w:rPr>
        <w:t xml:space="preserve">Establish "Bangkok Client Advisory Councils":</w:t>
      </w:r>
      <w:r>
        <w:t xml:space="preserve"> </w:t>
      </w:r>
      <w:r>
        <w:t xml:space="preserve">Form regular roundtables with key corporate clients in Bangkok to co-create solutions, fostering deeper trust – a critical factor where every Banker’s reputation directly impacts sales outcomes.</w:t>
      </w:r>
    </w:p>
    <w:bookmarkEnd w:id="25"/>
    <w:bookmarkStart w:id="26" w:name="X51c0bafc1b381b0ca416d26aa090bac85ab215f"/>
    <w:p>
      <w:pPr>
        <w:pStyle w:val="Heading2"/>
      </w:pPr>
      <w:r>
        <w:t xml:space="preserve">Conclusion: The Future of the Banker in Thailand Bangkok</w:t>
      </w:r>
    </w:p>
    <w:p>
      <w:pPr>
        <w:pStyle w:val="FirstParagraph"/>
      </w:pPr>
      <w:r>
        <w:t xml:space="preserve">The Q3 2024 Sales Report underscores that success for any Banker in Thailand Bangkok hinges on a delicate balance of deep market knowledge, cultural fluency, and agile service delivery. As Thailand’s economy continues its robust recovery – fueled by tourism, manufacturing exports, and foreign investment – the strategic role of the Banker has evolved beyond transaction execution to become an indispensable catalyst for client growth within this specific ecosystem.</w:t>
      </w:r>
    </w:p>
    <w:p>
      <w:pPr>
        <w:pStyle w:val="BodyText"/>
      </w:pPr>
      <w:r>
        <w:t xml:space="preserve">Thailand Bangkok’s financial landscape is not merely a market location; it is a distinct business environment demanding tailored approaches. The Banker who masters the local nuances, leverages digital innovation, and builds authentic relationships will lead in this high-value segment. This Sales Report concludes that our current performance trajectory positions us strongly for Q4 2024, but sustained excellence requires continuous investment in Bangkok-specific banker development – because every interaction with a Thai client represents an opportunity to strengthen not just our sales pipeline, but the entire Thailand Bangkok banking relationship framework.</w:t>
      </w:r>
    </w:p>
    <w:p>
      <w:pPr>
        <w:pStyle w:val="BodyText"/>
      </w:pPr>
      <w:r>
        <w:rPr>
          <w:bCs/>
          <w:b/>
        </w:rPr>
        <w:t xml:space="preserve">Prepared For:</w:t>
      </w:r>
      <w:r>
        <w:t xml:space="preserve"> </w:t>
      </w:r>
      <w:r>
        <w:t xml:space="preserve">Executive Leadership, Regional Sales Teams - Thailand Bangkok</w:t>
      </w:r>
      <w:r>
        <w:br/>
      </w:r>
      <w:r>
        <w:rPr>
          <w:bCs/>
          <w:b/>
        </w:rPr>
        <w:t xml:space="preserve">Date:</w:t>
      </w:r>
      <w:r>
        <w:t xml:space="preserve"> </w:t>
      </w:r>
      <w:r>
        <w:t xml:space="preserve">October 26, 2024</w:t>
      </w:r>
      <w:r>
        <w:br/>
      </w:r>
      <w:r>
        <w:rPr>
          <w:bCs/>
          <w:b/>
        </w:rPr>
        <w:t xml:space="preserve">Prepared By:</w:t>
      </w:r>
      <w:r>
        <w:t xml:space="preserve"> </w:t>
      </w:r>
      <w:r>
        <w:t xml:space="preserve">Global Financial Solutions Group, Asia Pacific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Strategic Performance of Bankers in Thailand Bangkok</dc:title>
  <dc:creator/>
  <dc:language>en</dc:language>
  <cp:keywords/>
  <dcterms:created xsi:type="dcterms:W3CDTF">2026-07-23T22:17:32Z</dcterms:created>
  <dcterms:modified xsi:type="dcterms:W3CDTF">2026-07-23T22:17:32Z</dcterms:modified>
</cp:coreProperties>
</file>

<file path=docProps/custom.xml><?xml version="1.0" encoding="utf-8"?>
<Properties xmlns="http://schemas.openxmlformats.org/officeDocument/2006/custom-properties" xmlns:vt="http://schemas.openxmlformats.org/officeDocument/2006/docPropsVTypes"/>
</file>