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Ankara</w:t>
      </w:r>
      <w:r>
        <w:t xml:space="preserve"> </w:t>
      </w:r>
      <w:r>
        <w:t xml:space="preserve">Banking</w:t>
      </w:r>
      <w:r>
        <w:t xml:space="preserve"> </w:t>
      </w:r>
      <w:r>
        <w:t xml:space="preserve">Operations</w:t>
      </w:r>
    </w:p>
    <w:bookmarkStart w:id="27" w:name="X50c8db20c454a9113ef5756809e3dc8ed22e5ba"/>
    <w:p>
      <w:pPr>
        <w:pStyle w:val="Heading1"/>
      </w:pPr>
      <w:r>
        <w:t xml:space="preserve">Comprehensive Quarterly Sales Report: Banking Performance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Banking Division</w:t>
      </w:r>
      <w:r>
        <w:br/>
      </w:r>
      <w:r>
        <w:rPr>
          <w:bCs/>
          <w:b/>
        </w:rPr>
        <w:t xml:space="preserve">Purpose:</w:t>
      </w:r>
      <w:r>
        <w:t xml:space="preserve"> </w:t>
      </w:r>
      <w:r>
        <w:t xml:space="preserve">Strategic Analysis of Sales Performance for Banker Operations in Turkey Ankara</w:t>
      </w:r>
    </w:p>
    <w:bookmarkStart w:id="20" w:name="executive-summary"/>
    <w:p>
      <w:pPr>
        <w:pStyle w:val="Heading2"/>
      </w:pPr>
      <w:r>
        <w:t xml:space="preserve">Executive Summary</w:t>
      </w:r>
    </w:p>
    <w:p>
      <w:pPr>
        <w:pStyle w:val="FirstParagraph"/>
      </w:pPr>
      <w:r>
        <w:t xml:space="preserve">This Sales Report details the performance of our banking operations in Turkey Ankara during Q3 2023. As a premier financial institution serving the Anatolian capital, our Ankara branch has demonstrated significant growth while navigating unique market dynamics. The Banker team achieved 118% of quarterly sales targets, with particular strength in corporate lending and retail digital services. This document serves as both an accountability record and strategic roadmap for continued expansion in Turkey Ankara's evolving financial landscape.</w:t>
      </w:r>
    </w:p>
    <w:bookmarkEnd w:id="20"/>
    <w:bookmarkStart w:id="21" w:name="X9b015d3c4d59763903c9d9b2fe9bfee29ea1b4d"/>
    <w:p>
      <w:pPr>
        <w:pStyle w:val="Heading2"/>
      </w:pPr>
      <w:r>
        <w:t xml:space="preserve">Performance Highlights: Turkey Ankara Market Analysis</w:t>
      </w:r>
    </w:p>
    <w:p>
      <w:pPr>
        <w:pStyle w:val="FirstParagraph"/>
      </w:pPr>
      <w:r>
        <w:t xml:space="preserve">The Ankara market has shown robust demand for tailored banking solutions, positioning our Banker team to capitalize on national economic initiatives. Key achievements include:</w:t>
      </w:r>
    </w:p>
    <w:p>
      <w:pPr>
        <w:numPr>
          <w:ilvl w:val="0"/>
          <w:numId w:val="1001"/>
        </w:numPr>
        <w:pStyle w:val="Compact"/>
      </w:pPr>
      <w:r>
        <w:rPr>
          <w:bCs/>
          <w:b/>
        </w:rPr>
        <w:t xml:space="preserve">Corporate Lending Growth:</w:t>
      </w:r>
      <w:r>
        <w:t xml:space="preserve"> </w:t>
      </w:r>
      <w:r>
        <w:t xml:space="preserve">+37% year-over-year, driven by infrastructure projects aligned with Turkey's National Development Plan 2023-2025</w:t>
      </w:r>
    </w:p>
    <w:p>
      <w:pPr>
        <w:numPr>
          <w:ilvl w:val="0"/>
          <w:numId w:val="1001"/>
        </w:numPr>
        <w:pStyle w:val="Compact"/>
      </w:pPr>
      <w:r>
        <w:rPr>
          <w:bCs/>
          <w:b/>
        </w:rPr>
        <w:t xml:space="preserve">Digital Adoption Rate:</w:t>
      </w:r>
      <w:r>
        <w:t xml:space="preserve"> </w:t>
      </w:r>
      <w:r>
        <w:t xml:space="preserve">45% increase in mobile banking users across Ankara, exceeding national average by 18%</w:t>
      </w:r>
    </w:p>
    <w:p>
      <w:pPr>
        <w:numPr>
          <w:ilvl w:val="0"/>
          <w:numId w:val="1001"/>
        </w:numPr>
        <w:pStyle w:val="Compact"/>
      </w:pPr>
      <w:r>
        <w:rPr>
          <w:bCs/>
          <w:b/>
        </w:rPr>
        <w:t xml:space="preserve">Customer Acquisition:</w:t>
      </w:r>
      <w:r>
        <w:t xml:space="preserve"> </w:t>
      </w:r>
      <w:r>
        <w:t xml:space="preserve">Secured 1,247 new retail accounts (32% above target) through localized community engagement programs</w:t>
      </w:r>
    </w:p>
    <w:p>
      <w:pPr>
        <w:numPr>
          <w:ilvl w:val="0"/>
          <w:numId w:val="1001"/>
        </w:numPr>
        <w:pStyle w:val="Compact"/>
      </w:pPr>
      <w:r>
        <w:rPr>
          <w:bCs/>
          <w:b/>
        </w:rPr>
        <w:t xml:space="preserve">Revenue Contribution:</w:t>
      </w:r>
      <w:r>
        <w:t xml:space="preserve"> </w:t>
      </w:r>
      <w:r>
        <w:t xml:space="preserve">Ankara branch now represents 29% of Turkey's total banking revenue, up from 24% last quarter</w:t>
      </w:r>
    </w:p>
    <w:bookmarkEnd w:id="21"/>
    <w:bookmarkStart w:id="22" w:name="X74ed6f692b131c31a9fe8b00b62010ed3330ff6"/>
    <w:p>
      <w:pPr>
        <w:pStyle w:val="Heading2"/>
      </w:pPr>
      <w:r>
        <w:t xml:space="preserve">Detailed Sales Breakdown: Ankara-Specific Insights</w:t>
      </w:r>
    </w:p>
    <w:p>
      <w:pPr>
        <w:pStyle w:val="FirstParagraph"/>
      </w:pPr>
      <w:r>
        <w:t xml:space="preserve">The success in Turkey Ankara stems from hyper-localized strategies. Our Banker team conducted 180+ market visits to small/medium enterprises (SMEs) across Kızılay, Çankaya, and Sıhhiye districts, identifying sector-specific needs:</w:t>
      </w:r>
    </w:p>
    <w:p>
      <w:pPr>
        <w:pStyle w:val="BodyText"/>
      </w:pPr>
      <w:r>
        <w:t xml:space="preserve">Product Segment</w:t>
      </w:r>
    </w:p>
    <w:p>
      <w:pPr>
        <w:pStyle w:val="BodyText"/>
      </w:pPr>
      <w:r>
        <w:t xml:space="preserve">Q3 Performance</w:t>
      </w:r>
    </w:p>
    <w:p>
      <w:pPr>
        <w:pStyle w:val="BodyText"/>
      </w:pPr>
      <w:r>
        <w:t xml:space="preserve">Target</w:t>
      </w:r>
    </w:p>
    <w:p>
      <w:pPr>
        <w:pStyle w:val="BodyText"/>
      </w:pPr>
      <w:r>
        <w:t xml:space="preserve">Market Share (Ankara)</w:t>
      </w:r>
    </w:p>
    <w:p>
      <w:pPr>
        <w:pStyle w:val="BodyText"/>
      </w:pPr>
      <w:r>
        <w:t xml:space="preserve">Credit Facilities for Manufacturing SMEs</w:t>
      </w:r>
    </w:p>
    <w:p>
      <w:pPr>
        <w:pStyle w:val="BodyText"/>
      </w:pPr>
      <w:r>
        <w:t xml:space="preserve">+42%</w:t>
      </w:r>
    </w:p>
    <w:p>
      <w:pPr>
        <w:pStyle w:val="BodyText"/>
      </w:pPr>
      <w:r>
        <w:t xml:space="preserve">+35%</w:t>
      </w:r>
    </w:p>
    <w:p>
      <w:pPr>
        <w:pStyle w:val="BodyText"/>
      </w:pPr>
      <w:r>
        <w:t xml:space="preserve">28.6% (vs 21% YoY)</w:t>
      </w:r>
    </w:p>
    <w:p>
      <w:pPr>
        <w:pStyle w:val="BodyText"/>
      </w:pPr>
      <w:r>
        <w:t xml:space="preserve">Digital Wealth Management</w:t>
      </w:r>
    </w:p>
    <w:p>
      <w:pPr>
        <w:pStyle w:val="BodyText"/>
      </w:pPr>
      <w:r>
        <w:rPr>
          <w:bCs/>
          <w:b/>
        </w:rPr>
        <w:t xml:space="preserve">+</w:t>
      </w:r>
      <w:r>
        <w:t xml:space="preserve">39%+30%</w:t>
      </w:r>
    </w:p>
    <w:p>
      <w:pPr>
        <w:pStyle w:val="BodyText"/>
      </w:pPr>
      <w:r>
        <w:t xml:space="preserve">34.1% (Ankara leadership)</w:t>
      </w:r>
    </w:p>
    <w:p>
      <w:pPr>
        <w:pStyle w:val="BodyText"/>
      </w:pPr>
      <w:r>
        <w:t xml:space="preserve">Treasury Solutions for Municipalities</w:t>
      </w:r>
    </w:p>
    <w:p>
      <w:pPr>
        <w:pStyle w:val="BodyText"/>
      </w:pPr>
      <w:r>
        <w:t xml:space="preserve">+28%</w:t>
      </w:r>
    </w:p>
    <w:p>
      <w:pPr>
        <w:pStyle w:val="BodyText"/>
      </w:pPr>
      <w:r>
        <w:t xml:space="preserve">+25%</w:t>
      </w:r>
    </w:p>
    <w:p>
      <w:pPr>
        <w:pStyle w:val="BodyText"/>
      </w:pPr>
      <w:r>
        <w:t xml:space="preserve">41% market share</w:t>
      </w:r>
    </w:p>
    <w:p>
      <w:pPr>
        <w:pStyle w:val="BodyText"/>
      </w:pPr>
      <w:r>
        <w:t xml:space="preserve">Notably, the Ankara branch achieved 97% client retention rate through our "Ankara Advantage" loyalty program—a direct result of the Banker team's cultural intelligence. By understanding local business rhythms (e.g., aligning loan disbursements with agricultural cycles in surrounding districts), we've built trust that fuels organic referrals.</w:t>
      </w:r>
    </w:p>
    <w:bookmarkEnd w:id="22"/>
    <w:bookmarkStart w:id="23" w:name="market-context-why-turkey-ankara-matters"/>
    <w:p>
      <w:pPr>
        <w:pStyle w:val="Heading2"/>
      </w:pPr>
      <w:r>
        <w:t xml:space="preserve">Market Context: Why Turkey Ankara Matters</w:t>
      </w:r>
    </w:p>
    <w:p>
      <w:pPr>
        <w:pStyle w:val="FirstParagraph"/>
      </w:pPr>
      <w:r>
        <w:t xml:space="preserve">Ankara isn't merely a regional hub—it's the strategic nerve center of Turkish banking. As the capital city housing Central Bank operations, government institutions, and 43% of Turkey's Fortune 500 companies, success here signals national credibility. Our Sales Report confirms that Ankara-based client engagement directly impacts our brand perception across all 81 provinces.</w:t>
      </w:r>
    </w:p>
    <w:p>
      <w:pPr>
        <w:pStyle w:val="BodyText"/>
      </w:pPr>
      <w:r>
        <w:t xml:space="preserve">Current economic indicators reinforce this focus: Ankara's GDP growth (5.2%) outpaces the national average (4.7%), with construction and tech sectors driving demand for specialized banking solutions. The Banker team leveraged these trends through targeted workshops at Ankara University and INSEAD Turkey, positioning us as a knowledge partner rather than just a service provider.</w:t>
      </w:r>
    </w:p>
    <w:bookmarkEnd w:id="23"/>
    <w:bookmarkStart w:id="24" w:name="X720adb48988e4c7dc9190bfcf62a533047828fa"/>
    <w:p>
      <w:pPr>
        <w:pStyle w:val="Heading2"/>
      </w:pPr>
      <w:r>
        <w:t xml:space="preserve">Challenges Faced by the Ankara Banker Team</w:t>
      </w:r>
    </w:p>
    <w:p>
      <w:pPr>
        <w:pStyle w:val="FirstParagraph"/>
      </w:pPr>
      <w:r>
        <w:t xml:space="preserve">Despite strong results, we encountered market-specific hurdles requiring agile adaptation:</w:t>
      </w:r>
    </w:p>
    <w:p>
      <w:pPr>
        <w:numPr>
          <w:ilvl w:val="0"/>
          <w:numId w:val="1002"/>
        </w:numPr>
        <w:pStyle w:val="Compact"/>
      </w:pPr>
      <w:r>
        <w:rPr>
          <w:bCs/>
          <w:b/>
        </w:rPr>
        <w:t xml:space="preserve">Currency Volatility:</w:t>
      </w:r>
      <w:r>
        <w:t xml:space="preserve"> </w:t>
      </w:r>
      <w:r>
        <w:t xml:space="preserve">The Lira's 14% fluctuation in Q3 impacted client financing decisions. Our Ankara Banker team responded by launching FX-hedging packages for 87% of corporate clients.</w:t>
      </w:r>
    </w:p>
    <w:p>
      <w:pPr>
        <w:numPr>
          <w:ilvl w:val="0"/>
          <w:numId w:val="1002"/>
        </w:numPr>
        <w:pStyle w:val="Compact"/>
      </w:pPr>
      <w:r>
        <w:rPr>
          <w:bCs/>
          <w:b/>
        </w:rPr>
        <w:t xml:space="preserve">Digital Literacy Gap:</w:t>
      </w:r>
      <w:r>
        <w:t xml:space="preserve"> </w:t>
      </w:r>
      <w:r>
        <w:t xml:space="preserve">Only 52% of local SMEs used digital banking pre-Q3. The branch implemented "Ankara Digital Ambassadors" (15 trained staff) to provide in-person tech support, increasing adoption by 61%.</w:t>
      </w:r>
    </w:p>
    <w:p>
      <w:pPr>
        <w:numPr>
          <w:ilvl w:val="0"/>
          <w:numId w:val="1002"/>
        </w:numPr>
        <w:pStyle w:val="Compact"/>
      </w:pPr>
      <w:r>
        <w:rPr>
          <w:bCs/>
          <w:b/>
        </w:rPr>
        <w:t xml:space="preserve">Competitive Pressure:</w:t>
      </w:r>
      <w:r>
        <w:t xml:space="preserve"> </w:t>
      </w:r>
      <w:r>
        <w:t xml:space="preserve">Local banks increased marketing spend by 22%. Our response was the "Ankara Partnership Program," offering waived fees for co-branded initiatives with Chamber of Commerce Ankara.</w:t>
      </w:r>
    </w:p>
    <w:bookmarkEnd w:id="24"/>
    <w:bookmarkStart w:id="25" w:name="Xeee8b627cf59fdd9c1c52e4227dd4ac17fbc161"/>
    <w:p>
      <w:pPr>
        <w:pStyle w:val="Heading2"/>
      </w:pPr>
      <w:r>
        <w:t xml:space="preserve">Action Plan: Future Focus for Turkey Ankara Operations</w:t>
      </w:r>
    </w:p>
    <w:p>
      <w:pPr>
        <w:pStyle w:val="FirstParagraph"/>
      </w:pPr>
      <w:r>
        <w:t xml:space="preserve">Based on this Sales Report, our Banker strategy will pivot toward three priorities:</w:t>
      </w:r>
    </w:p>
    <w:p>
      <w:pPr>
        <w:numPr>
          <w:ilvl w:val="0"/>
          <w:numId w:val="1003"/>
        </w:numPr>
        <w:pStyle w:val="Compact"/>
      </w:pPr>
      <w:r>
        <w:rPr>
          <w:bCs/>
          <w:b/>
        </w:rPr>
        <w:t xml:space="preserve">Deepen Government Ties:</w:t>
      </w:r>
      <w:r>
        <w:t xml:space="preserve"> </w:t>
      </w:r>
      <w:r>
        <w:t xml:space="preserve">Target 10 new municipal treasury contracts by Q1 2024 through the Ankara Financial Innovation Center partnership.</w:t>
      </w:r>
    </w:p>
    <w:p>
      <w:pPr>
        <w:numPr>
          <w:ilvl w:val="0"/>
          <w:numId w:val="1003"/>
        </w:numPr>
        <w:pStyle w:val="Compact"/>
      </w:pPr>
      <w:r>
        <w:rPr>
          <w:bCs/>
          <w:b/>
        </w:rPr>
        <w:t xml:space="preserve">SME Digital Transformation:</w:t>
      </w:r>
      <w:r>
        <w:t xml:space="preserve"> </w:t>
      </w:r>
      <w:r>
        <w:t xml:space="preserve">Deploy AI-driven credit scoring for Ankara-based SMEs in manufacturing (projected to reduce approval time by 58%).</w:t>
      </w:r>
    </w:p>
    <w:bookmarkEnd w:id="25"/>
    <w:bookmarkStart w:id="26" w:name="X40f13fa65f4b72b05bb24249b53b12a02eacb60"/>
    <w:p>
      <w:pPr>
        <w:pStyle w:val="Heading2"/>
      </w:pPr>
      <w:r>
        <w:t xml:space="preserve">Conclusion: The Ankara Advantage in Banking</w:t>
      </w:r>
    </w:p>
    <w:p>
      <w:pPr>
        <w:pStyle w:val="FirstParagraph"/>
      </w:pPr>
      <w:r>
        <w:t xml:space="preserve">This Sales Report underscores that Turkey Ankara isn't just a market—it's our flagship for innovation. The Banker team has transformed local challenges into opportunities by embedding cultural intelligence into every sales interaction. As we look forward, maintaining this Ankara-centric approach will be critical to our national growth trajectory.</w:t>
      </w:r>
    </w:p>
    <w:p>
      <w:pPr>
        <w:pStyle w:val="BodyText"/>
      </w:pPr>
      <w:r>
        <w:t xml:space="preserve">With the Turkish economy poised for 5.8% expansion in 2024 (World Bank forecast), our Ankara branch is positioned to capture market share through strategic agility. The data confirms: when banking solutions are designed *for* Ankara, by Ankaranis, results follow. This Sales Report isn't merely an assessment—it's a blueprint for sustaining leadership in Turkey's most pivotal financial ecosystem.</w:t>
      </w:r>
    </w:p>
    <w:p>
      <w:pPr>
        <w:pStyle w:val="BodyText"/>
      </w:pPr>
      <w:r>
        <w:rPr>
          <w:bCs/>
          <w:b/>
        </w:rPr>
        <w:t xml:space="preserve">Prepared By:</w:t>
      </w:r>
      <w:r>
        <w:t xml:space="preserve"> </w:t>
      </w:r>
      <w:r>
        <w:t xml:space="preserve">International Sales Analytics Team</w:t>
      </w:r>
      <w:r>
        <w:br/>
      </w:r>
      <w:r>
        <w:rPr>
          <w:bCs/>
          <w:b/>
        </w:rPr>
        <w:t xml:space="preserve">Verified With:</w:t>
      </w:r>
      <w:r>
        <w:t xml:space="preserve"> </w:t>
      </w:r>
      <w:r>
        <w:t xml:space="preserve">Ankara Branch Management &amp; Central Bank of Turkey Compliance Office</w:t>
      </w:r>
      <w:r>
        <w:br/>
      </w:r>
      <w:r>
        <w:rPr>
          <w:iCs/>
          <w:i/>
        </w:rPr>
        <w:t xml:space="preserve">This document constitutes the official Sales Report for Banker operations in Turkey Ankara as of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Ankara Banking Operations</dc:title>
  <dc:creator/>
  <dc:language>en</dc:language>
  <cp:keywords/>
  <dcterms:created xsi:type="dcterms:W3CDTF">2026-07-21T05:14:27Z</dcterms:created>
  <dcterms:modified xsi:type="dcterms:W3CDTF">2026-07-21T05:14:27Z</dcterms:modified>
</cp:coreProperties>
</file>

<file path=docProps/custom.xml><?xml version="1.0" encoding="utf-8"?>
<Properties xmlns="http://schemas.openxmlformats.org/officeDocument/2006/custom-properties" xmlns:vt="http://schemas.openxmlformats.org/officeDocument/2006/docPropsVTypes"/>
</file>