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8" w:name="X2bd8623bfa4d2bdfca5ebee843490f1e5e85362"/>
    <w:p>
      <w:pPr>
        <w:pStyle w:val="Heading1"/>
      </w:pPr>
      <w:r>
        <w:t xml:space="preserve">Annual Sales Report: Strategic Performance of Banking Services in Istanbul, Turkey</w:t>
      </w:r>
    </w:p>
    <w:bookmarkStart w:id="20" w:name="X24c44540731eff755a06b10497e6af673ec89f3"/>
    <w:p>
      <w:pPr>
        <w:pStyle w:val="Heading2"/>
      </w:pPr>
      <w:r>
        <w:t xml:space="preserve">Prepared for: Executive Leadership | Date: October 26, 2023</w:t>
      </w:r>
    </w:p>
    <w:p>
      <w:pPr>
        <w:pStyle w:val="FirstParagraph"/>
      </w:pPr>
      <w:r>
        <w:rPr>
          <w:bCs/>
          <w:b/>
        </w:rPr>
        <w:t xml:space="preserve">Introduction:</w:t>
      </w:r>
      <w:r>
        <w:t xml:space="preserve"> </w:t>
      </w:r>
      <w:r>
        <w:t xml:space="preserve">This comprehensive Sales Report details the performance metrics, market dynamics, and strategic insights for our banking operations in Istanbul, Turkey. As a premier financial institution serving the dynamic economic hub of Turkey's largest city, this report serves as a critical assessment tool for our Banker team navigating Istanbul's complex financial landscape. With Istanbul representing 38% of Turkey's total GDP and hosting over 15 million residents, our success here directly impacts national revenue streams.</w:t>
      </w:r>
    </w:p>
    <w:bookmarkEnd w:id="20"/>
    <w:bookmarkStart w:id="21" w:name="executive-summary"/>
    <w:p>
      <w:pPr>
        <w:pStyle w:val="Heading2"/>
      </w:pPr>
      <w:r>
        <w:t xml:space="preserve">Executive Summary</w:t>
      </w:r>
    </w:p>
    <w:p>
      <w:pPr>
        <w:pStyle w:val="FirstParagraph"/>
      </w:pPr>
      <w:r>
        <w:t xml:space="preserve">The current fiscal year has demonstrated remarkable growth in our Istanbul operations, with a 24.7% increase in managed client assets compared to 2022. This achievement positions us as the fastest-growing private bank branch in Turkey's financial capital. The Banker team achieved these results through hyper-localized relationship management and strategic alignment with Istanbul's unique economic ecosystem—particularly in sectors like tourism, real estate, and international trade that drive our city's economy.</w:t>
      </w:r>
    </w:p>
    <w:bookmarkEnd w:id="21"/>
    <w:bookmarkStart w:id="22" w:name="X643b6d443fab1dbf5bdfed0a5f52d3135512ab3"/>
    <w:p>
      <w:pPr>
        <w:pStyle w:val="Heading2"/>
      </w:pPr>
      <w:r>
        <w:t xml:space="preserve">Performance Metrics: Istanbul Market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Client Assets (TRY)</w:t>
      </w:r>
    </w:p>
    <w:p>
      <w:pPr>
        <w:pStyle w:val="BodyText"/>
      </w:pPr>
      <w:r>
        <w:t xml:space="preserve">18.7 Billion</w:t>
      </w:r>
    </w:p>
    <w:p>
      <w:pPr>
        <w:pStyle w:val="BodyText"/>
      </w:pPr>
      <w:r>
        <w:t xml:space="preserve">15.0 Billion</w:t>
      </w:r>
    </w:p>
    <w:p>
      <w:pPr>
        <w:pStyle w:val="BodyText"/>
      </w:pPr>
      <w:r>
        <w:t xml:space="preserve">+24.7%</w:t>
      </w:r>
    </w:p>
    <w:p>
      <w:pPr>
        <w:pStyle w:val="BodyText"/>
      </w:pPr>
      <w:r>
        <w:t xml:space="preserve">New High-Net-Worth Clients</w:t>
      </w:r>
    </w:p>
    <w:p>
      <w:pPr>
        <w:pStyle w:val="BodyText"/>
      </w:pPr>
      <w:r>
        <w:t xml:space="preserve">142</w:t>
      </w:r>
    </w:p>
    <w:p>
      <w:pPr>
        <w:pStyle w:val="BodyText"/>
      </w:pPr>
      <w:r>
        <w:t xml:space="preserve">98</w:t>
      </w:r>
    </w:p>
    <w:p>
      <w:pPr>
        <w:pStyle w:val="BodyText"/>
      </w:pPr>
      <w:r>
        <w:t xml:space="preserve">+44.9%</w:t>
      </w:r>
    </w:p>
    <w:p>
      <w:pPr>
        <w:pStyle w:val="BodyText"/>
      </w:pPr>
      <w:r>
        <w:t xml:space="preserve">Cross-Sold Product Adoption</w:t>
      </w:r>
    </w:p>
    <w:p>
      <w:pPr>
        <w:pStyle w:val="BodyText"/>
      </w:pPr>
      <w:r>
        <w:t xml:space="preserve">63.2%</w:t>
      </w:r>
    </w:p>
    <w:p>
      <w:pPr>
        <w:pStyle w:val="BodyText"/>
      </w:pPr>
      <w:r>
        <w:t xml:space="preserve">51.8%</w:t>
      </w:r>
    </w:p>
    <w:p>
      <w:pPr>
        <w:pStyle w:val="BodyText"/>
      </w:pPr>
      <w:r>
        <w:t xml:space="preserve">+11.4pp</w:t>
      </w:r>
    </w:p>
    <w:p>
      <w:pPr>
        <w:pStyle w:val="BodyText"/>
      </w:pPr>
      <w:r>
        <w:t xml:space="preserve">Customer Retention Rate</w:t>
      </w:r>
    </w:p>
    <w:p>
      <w:pPr>
        <w:pStyle w:val="BodyText"/>
      </w:pPr>
      <w:r>
        <w:t xml:space="preserve">&lt;</w:t>
      </w:r>
    </w:p>
    <w:p>
      <w:pPr>
        <w:pStyle w:val="BodyText"/>
      </w:pPr>
      <w:r>
        <w:t xml:space="preserve">94.6%</w:t>
      </w:r>
    </w:p>
    <w:p>
      <w:pPr>
        <w:pStyle w:val="BodyText"/>
      </w:pPr>
      <w:r>
        <w:t xml:space="preserve">90.3%</w:t>
      </w:r>
    </w:p>
    <w:p>
      <w:pPr>
        <w:pStyle w:val="BodyText"/>
      </w:pPr>
      <w:r>
        <w:t xml:space="preserve">+4.3pp</w:t>
      </w:r>
    </w:p>
    <w:p>
      <w:pPr>
        <w:pStyle w:val="BodyText"/>
      </w:pPr>
      <w:r>
        <w:t xml:space="preserve">The data confirms that our Banker team's localized approach—particularly in sectors like Istanbul's booming luxury real estate market (where we facilitated 127 high-value property transactions totaling $89M) and the city's international tourism corridor (supporting 42% of all foreign business accounts)—has driven exceptional results. Notably, our Sharia-compliant wealth management products gained significant traction among Istanbul's Muslim-majority client base, with a 37% YoY increase in adoption.</w:t>
      </w:r>
    </w:p>
    <w:bookmarkEnd w:id="22"/>
    <w:bookmarkStart w:id="23" w:name="Xbd6763416b23bb7c48c85feeb197584a2a8ffe1"/>
    <w:p>
      <w:pPr>
        <w:pStyle w:val="Heading2"/>
      </w:pPr>
      <w:r>
        <w:t xml:space="preserve">Market Analysis: Istanbul's Banking Ecosystem</w:t>
      </w:r>
    </w:p>
    <w:p>
      <w:pPr>
        <w:pStyle w:val="FirstParagraph"/>
      </w:pPr>
      <w:r>
        <w:t xml:space="preserve">Istanbul presents a uniquely complex banking environment due to its dual role as Turkey's commercial capital and gateway to Eurasia. The city accounts for 58% of all corporate banking activity in Turkey, yet faces intense competition from both domestic giants (like Garanti BBVA) and international players (such as HSBC Istanbul). Our Sales Report identifies three critical success factors specific to this market:</w:t>
      </w:r>
    </w:p>
    <w:p>
      <w:pPr>
        <w:numPr>
          <w:ilvl w:val="0"/>
          <w:numId w:val="1001"/>
        </w:numPr>
        <w:pStyle w:val="Compact"/>
      </w:pPr>
      <w:r>
        <w:rPr>
          <w:bCs/>
          <w:b/>
        </w:rPr>
        <w:t xml:space="preserve">Hyper-Localized Relationship Building:</w:t>
      </w:r>
      <w:r>
        <w:t xml:space="preserve"> </w:t>
      </w:r>
      <w:r>
        <w:t xml:space="preserve">Successful Banker teams in Istanbul prioritize neighborhood-level engagement—hosting quarterly "Bosphorus Business Forums" in Kadıköy, Beşiktaş, and Levent to understand sector-specific pain points.</w:t>
      </w:r>
    </w:p>
    <w:p>
      <w:pPr>
        <w:numPr>
          <w:ilvl w:val="0"/>
          <w:numId w:val="1001"/>
        </w:numPr>
        <w:pStyle w:val="Compact"/>
      </w:pPr>
      <w:r>
        <w:rPr>
          <w:bCs/>
          <w:b/>
        </w:rPr>
        <w:t xml:space="preserve">Currency Sensitivity Management:</w:t>
      </w:r>
      <w:r>
        <w:t xml:space="preserve"> </w:t>
      </w:r>
      <w:r>
        <w:t xml:space="preserve">With the Turkish Lira's volatility (28% annual depreciation against USD), our Istanbul Banker team implemented real-time FX hedging consultations for 92% of commercial clients during Q3, reducing client losses by 41%.</w:t>
      </w:r>
    </w:p>
    <w:p>
      <w:pPr>
        <w:numPr>
          <w:ilvl w:val="0"/>
          <w:numId w:val="1001"/>
        </w:numPr>
        <w:pStyle w:val="Compact"/>
      </w:pPr>
      <w:r>
        <w:rPr>
          <w:bCs/>
          <w:b/>
        </w:rPr>
        <w:t xml:space="preserve">Cultural Integration:</w:t>
      </w:r>
      <w:r>
        <w:t xml:space="preserve"> </w:t>
      </w:r>
      <w:r>
        <w:t xml:space="preserve">The Banker team's fluency in both Turkish and English (with Arabic proficiency added for Middle Eastern clients) proved critical in closing the $15.3M trade finance deal with a Dubai-based conglomerate operating across Istanbul's ports.</w:t>
      </w:r>
    </w:p>
    <w:bookmarkEnd w:id="23"/>
    <w:bookmarkStart w:id="24" w:name="customer-feedback-relationship-insights"/>
    <w:p>
      <w:pPr>
        <w:pStyle w:val="Heading2"/>
      </w:pPr>
      <w:r>
        <w:t xml:space="preserve">Customer Feedback &amp; Relationship Insights</w:t>
      </w:r>
    </w:p>
    <w:p>
      <w:pPr>
        <w:pStyle w:val="FirstParagraph"/>
      </w:pPr>
      <w:r>
        <w:t xml:space="preserve">Our Q3 client satisfaction survey (N=1,487 Istanbul clients) revealed that 89% of respondents cited "personalized service from their dedicated Banker" as the primary reason for recommending our firm. Specific insights include:</w:t>
      </w:r>
    </w:p>
    <w:p>
      <w:pPr>
        <w:numPr>
          <w:ilvl w:val="0"/>
          <w:numId w:val="1002"/>
        </w:numPr>
        <w:pStyle w:val="Compact"/>
      </w:pPr>
      <w:r>
        <w:t xml:space="preserve">92% of SME clients valued the Banker's assistance navigating Istanbul's new VAT regulations (effective Jan 2023)</w:t>
      </w:r>
    </w:p>
    <w:p>
      <w:pPr>
        <w:numPr>
          <w:ilvl w:val="0"/>
          <w:numId w:val="1002"/>
        </w:numPr>
        <w:pStyle w:val="Compact"/>
      </w:pPr>
      <w:r>
        <w:t xml:space="preserve">78% of high-net-worth individuals preferred in-person meetings at our Levent branch office for complex financial planning</w:t>
      </w:r>
    </w:p>
    <w:p>
      <w:pPr>
        <w:numPr>
          <w:ilvl w:val="0"/>
          <w:numId w:val="1002"/>
        </w:numPr>
        <w:pStyle w:val="Compact"/>
      </w:pPr>
      <w:r>
        <w:t xml:space="preserve">Key feedback: "Our Banker understood that Istanbul's business culture requires flexibility during Ramadan trading hours"</w:t>
      </w:r>
    </w:p>
    <w:bookmarkEnd w:id="24"/>
    <w:bookmarkStart w:id="25" w:name="Xb8dbaae0fc5337a885836c7eb0815037c4bd59d"/>
    <w:p>
      <w:pPr>
        <w:pStyle w:val="Heading2"/>
      </w:pPr>
      <w:r>
        <w:t xml:space="preserve">Challenges Faced by the Banker in Turkey Istanbul</w:t>
      </w:r>
    </w:p>
    <w:p>
      <w:pPr>
        <w:pStyle w:val="FirstParagraph"/>
      </w:pPr>
      <w:r>
        <w:t xml:space="preserve">Despite strong performance, the Sales Report identifies three systemic challenges requiring immediate attention:</w:t>
      </w:r>
    </w:p>
    <w:p>
      <w:pPr>
        <w:numPr>
          <w:ilvl w:val="0"/>
          <w:numId w:val="1003"/>
        </w:numPr>
        <w:pStyle w:val="Compact"/>
      </w:pPr>
      <w:r>
        <w:rPr>
          <w:bCs/>
          <w:b/>
        </w:rPr>
        <w:t xml:space="preserve">Regulatory Complexity:</w:t>
      </w:r>
      <w:r>
        <w:t xml:space="preserve"> </w:t>
      </w:r>
      <w:r>
        <w:t xml:space="preserve">The Banking Regulation and Supervision Agency (BDDK) recently introduced stricter KYC rules for foreign-owned assets. Istanbul Bankers spent 140+ hours monthly on compliance, reducing client acquisition capacity by 18%.</w:t>
      </w:r>
    </w:p>
    <w:p>
      <w:pPr>
        <w:numPr>
          <w:ilvl w:val="0"/>
          <w:numId w:val="1003"/>
        </w:numPr>
        <w:pStyle w:val="Compact"/>
      </w:pPr>
      <w:r>
        <w:rPr>
          <w:bCs/>
          <w:b/>
        </w:rPr>
        <w:t xml:space="preserve">Digital Adoption Gap:</w:t>
      </w:r>
      <w:r>
        <w:t xml:space="preserve"> </w:t>
      </w:r>
      <w:r>
        <w:t xml:space="preserve">While 72% of Istanbul clients prefer digital banking, legacy systems caused a 22% delay in processing commercial loans—impacting our competitive edge against fintech startups.</w:t>
      </w:r>
    </w:p>
    <w:p>
      <w:pPr>
        <w:numPr>
          <w:ilvl w:val="0"/>
          <w:numId w:val="1003"/>
        </w:numPr>
        <w:pStyle w:val="Compact"/>
      </w:pPr>
      <w:r>
        <w:rPr>
          <w:bCs/>
          <w:b/>
        </w:rPr>
        <w:t xml:space="preserve">Economic Volatility:</w:t>
      </w:r>
      <w:r>
        <w:t xml:space="preserve"> </w:t>
      </w:r>
      <w:r>
        <w:t xml:space="preserve">The lira's depreciation cycle created tension between client expectations (demanding fixed-rate solutions) and our product portfolio constraints.</w:t>
      </w:r>
    </w:p>
    <w:bookmarkEnd w:id="25"/>
    <w:bookmarkStart w:id="26" w:name="strategic-recommendations"/>
    <w:p>
      <w:pPr>
        <w:pStyle w:val="Heading2"/>
      </w:pPr>
      <w:r>
        <w:t xml:space="preserve">Strategic Recommendations</w:t>
      </w:r>
    </w:p>
    <w:p>
      <w:pPr>
        <w:pStyle w:val="FirstParagraph"/>
      </w:pPr>
      <w:r>
        <w:t xml:space="preserve">To capitalize on Istanbul's growth potential, this Sales Report proposes three actionable initiatives:</w:t>
      </w:r>
    </w:p>
    <w:p>
      <w:pPr>
        <w:numPr>
          <w:ilvl w:val="0"/>
          <w:numId w:val="1004"/>
        </w:numPr>
        <w:pStyle w:val="Compact"/>
      </w:pPr>
      <w:r>
        <w:rPr>
          <w:bCs/>
          <w:b/>
        </w:rPr>
        <w:t xml:space="preserve">Launch "Istanbul Prosperity Suite":</w:t>
      </w:r>
      <w:r>
        <w:t xml:space="preserve"> </w:t>
      </w:r>
      <w:r>
        <w:t xml:space="preserve">A bundled solution for tourism-focused businesses (hotels, travel agencies) with lira-USD dual-currency accounts and customs duty financing—addressing 65% of client pain points identified in our surveys.</w:t>
      </w:r>
    </w:p>
    <w:p>
      <w:pPr>
        <w:numPr>
          <w:ilvl w:val="0"/>
          <w:numId w:val="1004"/>
        </w:numPr>
        <w:pStyle w:val="Compact"/>
      </w:pPr>
      <w:r>
        <w:rPr>
          <w:bCs/>
          <w:b/>
        </w:rPr>
        <w:t xml:space="preserve">Implement AI-Powered Relationship Manager:</w:t>
      </w:r>
      <w:r>
        <w:t xml:space="preserve"> </w:t>
      </w:r>
      <w:r>
        <w:t xml:space="preserve">Deploy a localized CRM tool trained on Istanbul-specific banking terminology to reduce compliance processing time by 40% and free up Banker hours for client acquisition.</w:t>
      </w:r>
    </w:p>
    <w:p>
      <w:pPr>
        <w:numPr>
          <w:ilvl w:val="0"/>
          <w:numId w:val="1004"/>
        </w:numPr>
        <w:pStyle w:val="Compact"/>
      </w:pPr>
      <w:r>
        <w:rPr>
          <w:bCs/>
          <w:b/>
        </w:rPr>
        <w:t xml:space="preserve">Establish "Bosphorus Wealth Council":</w:t>
      </w:r>
      <w:r>
        <w:t xml:space="preserve"> </w:t>
      </w:r>
      <w:r>
        <w:t xml:space="preserve">A quarterly roundtable with top Istanbul economists and clients to co-create solutions for market volatility—enhancing our Banker's strategic advisor role beyond transactional services.</w:t>
      </w:r>
    </w:p>
    <w:bookmarkEnd w:id="26"/>
    <w:bookmarkStart w:id="27" w:name="X6d8cd07bf9e4a0d6c916287614010e726861372"/>
    <w:p>
      <w:pPr>
        <w:pStyle w:val="Heading2"/>
      </w:pPr>
      <w:r>
        <w:t xml:space="preserve">Conclusion: The Future of Banking in Turkey Istanbul</w:t>
      </w:r>
    </w:p>
    <w:p>
      <w:pPr>
        <w:pStyle w:val="FirstParagraph"/>
      </w:pPr>
      <w:r>
        <w:t xml:space="preserve">This Sales Report affirms that our Banker team has successfully transformed Istanbul operations into a high-performance engine for growth within Turkey's financial landscape. The data proves that deep market understanding—not just transaction volume—drives sustainable success in this critical city. As we move into 2024, the primary imperative remains doubling down on hyper-local expertise: where our Banker understands Istanbul's unique rhythm from the Sultanahmet bazaars to the Levent financial district.</w:t>
      </w:r>
    </w:p>
    <w:p>
      <w:pPr>
        <w:pStyle w:val="BodyText"/>
      </w:pPr>
      <w:r>
        <w:t xml:space="preserve">With Turkey's economy projected to grow at 3.1% in 2024 (World Bank), and Istanbul capturing 51% of this growth, our strategic position is stronger than ever. The path forward demands continued investment in cultural intelligence, regulatory agility, and sector-specific expertise—ensuring every Banker interaction reflects the nuanced reality of Turkey Istanbul's financial ecosystem. We stand poised to capture 32% market share in Istanbul's premium banking segment by Q4 2025 through these targeted initiatives.</w:t>
      </w:r>
    </w:p>
    <w:p>
      <w:pPr>
        <w:pStyle w:val="BodyText"/>
      </w:pPr>
      <w:r>
        <w:rPr>
          <w:bCs/>
          <w:b/>
        </w:rPr>
        <w:t xml:space="preserve">Prepared by:</w:t>
      </w:r>
      <w:r>
        <w:t xml:space="preserve"> </w:t>
      </w:r>
      <w:r>
        <w:t xml:space="preserve">Global Banking Analytics Department</w:t>
      </w:r>
      <w:r>
        <w:br/>
      </w:r>
      <w:r>
        <w:rPr>
          <w:bCs/>
          <w:b/>
        </w:rPr>
        <w:t xml:space="preserve">For the Istanbul Regional Leadership Team</w:t>
      </w:r>
    </w:p>
    <w:p>
      <w:r>
        <w:pict>
          <v:rect style="width:0;height:1.5pt" o:hralign="center" o:hrstd="t" o:hr="t"/>
        </w:pict>
      </w:r>
    </w:p>
    <w:p>
      <w:pPr>
        <w:pStyle w:val="FirstParagraph"/>
      </w:pPr>
      <w:r>
        <w:t xml:space="preserve">This Sales Report is confidential and intended solely for internal executive review. All figures represent Q3 2023 performance in Turkey Istanbul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Banking Performance in Turkey Istanbul</dc:title>
  <dc:creator/>
  <dc:language>en</dc:language>
  <cp:keywords/>
  <dcterms:created xsi:type="dcterms:W3CDTF">2025-12-11T06:25:21Z</dcterms:created>
  <dcterms:modified xsi:type="dcterms:W3CDTF">2025-12-11T06:25:21Z</dcterms:modified>
</cp:coreProperties>
</file>

<file path=docProps/custom.xml><?xml version="1.0" encoding="utf-8"?>
<Properties xmlns="http://schemas.openxmlformats.org/officeDocument/2006/custom-properties" xmlns:vt="http://schemas.openxmlformats.org/officeDocument/2006/docPropsVTypes"/>
</file>