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Abu</w:t>
      </w:r>
      <w:r>
        <w:t xml:space="preserve"> </w:t>
      </w:r>
      <w:r>
        <w:t xml:space="preserve">Dhabi</w:t>
      </w:r>
      <w:r>
        <w:t xml:space="preserve"> </w:t>
      </w:r>
      <w:r>
        <w:t xml:space="preserve">Branch</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Q3</w:t>
      </w:r>
      <w:r>
        <w:t xml:space="preserve"> </w:t>
      </w:r>
      <w:r>
        <w:t xml:space="preserve">2024</w:t>
      </w:r>
    </w:p>
    <w:bookmarkStart w:id="28" w:name="X7398ec468fbda70e6cdc3c2a623a7c05e70aaf5"/>
    <w:p>
      <w:pPr>
        <w:pStyle w:val="Heading1"/>
      </w:pPr>
      <w:r>
        <w:t xml:space="preserve">ABU DHABI BRANCH SALES PERFORMANCE REPORT</w:t>
      </w:r>
    </w:p>
    <w:bookmarkStart w:id="27" w:name="Xd4fbe0b0f1447b456f07337b69e8e3be8c78720"/>
    <w:p>
      <w:pPr>
        <w:pStyle w:val="Heading2"/>
      </w:pPr>
      <w:r>
        <w:t xml:space="preserve">Q3 2024 | United Arab Emirates Abu Dhabi Region</w:t>
      </w:r>
    </w:p>
    <w:p>
      <w:pPr>
        <w:pStyle w:val="FirstParagraph"/>
      </w:pPr>
      <w:r>
        <w:t xml:space="preserve">Prepared For: Senior Management, Abu Dhabi Banking Division</w:t>
      </w:r>
    </w:p>
    <w:p>
      <w:r>
        <w:pict>
          <v:rect style="width:0;height:1.5pt" o:hralign="center" o:hrstd="t" o:hr="t"/>
        </w:pict>
      </w:r>
    </w:p>
    <w:bookmarkStart w:id="20" w:name="executive-summary"/>
    <w:p>
      <w:pPr>
        <w:pStyle w:val="Heading3"/>
      </w:pPr>
      <w:r>
        <w:t xml:space="preserve">Executive Summary</w:t>
      </w:r>
    </w:p>
    <w:p>
      <w:pPr>
        <w:pStyle w:val="FirstParagraph"/>
      </w:pPr>
      <w:r>
        <w:t xml:space="preserve">This comprehensive Sales Report details the performance of our Abu Dhabi banking division during Q3 2024, emphasizing the strategic role of each Banker in driving growth within the United Arab Emirates Abu Dhabi market. The report outlines key achievements, challenges faced by our Bankers in navigating Abu Dhabi's dynamic financial landscape, and actionable recommendations for sustained success. With Abu Dhabi serving as a pivotal hub for regional finance within the United Arab Emirates, this Sales Report underscores how proactive engagement by our Banker team has directly contributed to exceeding quarterly targets by 8.2%.</w:t>
      </w:r>
    </w:p>
    <w:bookmarkEnd w:id="20"/>
    <w:bookmarkStart w:id="21" w:name="X8a33396324b5fcf8f8137f81099a6bd49fb4cf0"/>
    <w:p>
      <w:pPr>
        <w:pStyle w:val="Heading3"/>
      </w:pPr>
      <w:r>
        <w:t xml:space="preserve">Market Context: Abu Dhabi's Economic Landscape</w:t>
      </w:r>
    </w:p>
    <w:p>
      <w:pPr>
        <w:pStyle w:val="FirstParagraph"/>
      </w:pPr>
      <w:r>
        <w:t xml:space="preserve">The United Arab Emirates Abu Dhabi market demonstrated robust growth in Q3, driven by sovereign wealth fund activity, real estate investment, and increasing demand for Sharia-compliant financial solutions. As the economic capital of the UAE, Abu Dhabi attracted significant foreign investment through initiatives like the Abu Dhabi Global Market (ADGM) and partnerships with international institutions. This environment creates both opportunities and heightened expectations for every Banker operating within our Abu Dhabi branch network. The Central Bank of the United Arab Emirates has also intensified focus on fintech integration, requiring our Sales Report to reflect digital transformation efforts alongside traditional relationship banking.</w:t>
      </w:r>
    </w:p>
    <w:bookmarkEnd w:id="21"/>
    <w:bookmarkStart w:id="22" w:name="key-performance-metrics-q3-2024"/>
    <w:p>
      <w:pPr>
        <w:pStyle w:val="Heading3"/>
      </w:pPr>
      <w:r>
        <w:t xml:space="preserve">Key Performance Metrics (Q3 2024)</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2024 Actual</w:t>
            </w:r>
          </w:p>
        </w:tc>
        <w:tc>
          <w:tcPr/>
          <w:p>
            <w:pPr>
              <w:pStyle w:val="Compact"/>
              <w:jc w:val="left"/>
            </w:pPr>
            <w:r>
              <w:t xml:space="preserve">Target</w:t>
            </w:r>
          </w:p>
        </w:tc>
        <w:tc>
          <w:tcPr/>
          <w:p>
            <w:pPr>
              <w:pStyle w:val="Compact"/>
              <w:jc w:val="left"/>
            </w:pPr>
            <w:r>
              <w:t xml:space="preserve">Variance</w:t>
            </w:r>
          </w:p>
        </w:tc>
      </w:tr>
      <w:tr>
        <w:tc>
          <w:tcPr/>
          <w:p>
            <w:pPr>
              <w:pStyle w:val="Compact"/>
              <w:jc w:val="left"/>
            </w:pPr>
            <w:r>
              <w:t xml:space="preserve">Total New Client Acquisition (Abu Dhabi)</w:t>
            </w:r>
          </w:p>
        </w:tc>
        <w:tc>
          <w:tcPr/>
          <w:p>
            <w:pPr>
              <w:pStyle w:val="Compact"/>
              <w:jc w:val="left"/>
            </w:pPr>
            <w:r>
              <w:t xml:space="preserve">147 Clients</w:t>
            </w:r>
          </w:p>
        </w:tc>
        <w:tc>
          <w:tcPr/>
          <w:p>
            <w:pPr>
              <w:pStyle w:val="Compact"/>
              <w:jc w:val="left"/>
            </w:pPr>
            <w:r>
              <w:t xml:space="preserve">135 Clients</w:t>
            </w:r>
          </w:p>
        </w:tc>
        <w:tc>
          <w:tcPr/>
          <w:p>
            <w:pPr>
              <w:pStyle w:val="Compact"/>
              <w:jc w:val="left"/>
            </w:pPr>
            <w:r>
              <w:t xml:space="preserve">+9.0%</w:t>
            </w:r>
          </w:p>
        </w:tc>
      </w:tr>
      <w:tr>
        <w:tc>
          <w:tcPr/>
          <w:p>
            <w:pPr>
              <w:pStyle w:val="Compact"/>
              <w:jc w:val="left"/>
            </w:pPr>
            <w:r>
              <w:t xml:space="preserve">AUM Growth (Abu Dhabi Portfolio)</w:t>
            </w:r>
          </w:p>
        </w:tc>
        <w:tc>
          <w:tcPr/>
          <w:p>
            <w:pPr>
              <w:pStyle w:val="Compact"/>
              <w:jc w:val="left"/>
            </w:pPr>
            <w:r>
              <w:t xml:space="preserve">AED 2.18B</w:t>
            </w:r>
          </w:p>
        </w:tc>
        <w:tc>
          <w:tcPr/>
          <w:p>
            <w:pPr>
              <w:pStyle w:val="Compact"/>
              <w:jc w:val="left"/>
            </w:pPr>
            <w:r>
              <w:t xml:space="preserve">AED 2.05B</w:t>
            </w:r>
          </w:p>
        </w:tc>
        <w:tc>
          <w:tcPr/>
          <w:p>
            <w:pPr>
              <w:pStyle w:val="Compact"/>
              <w:jc w:val="left"/>
            </w:pPr>
            <w:r>
              <w:t xml:space="preserve">+6.3%</w:t>
            </w:r>
          </w:p>
        </w:tc>
      </w:tr>
      <w:tr>
        <w:tc>
          <w:tcPr/>
          <w:p>
            <w:pPr>
              <w:pStyle w:val="Compact"/>
              <w:jc w:val="left"/>
            </w:pPr>
            <w:r>
              <w:t xml:space="preserve">Islamic Finance Products Sold</w:t>
            </w:r>
          </w:p>
        </w:tc>
        <w:tc>
          <w:tcPr/>
          <w:p>
            <w:pPr>
              <w:pStyle w:val="Compact"/>
              <w:jc w:val="left"/>
            </w:pPr>
            <w:r>
              <w:t xml:space="preserve">87 Transactions</w:t>
            </w:r>
          </w:p>
        </w:tc>
        <w:tc>
          <w:tcPr/>
          <w:p>
            <w:pPr>
              <w:pStyle w:val="Compact"/>
              <w:jc w:val="left"/>
            </w:pPr>
            <w:r>
              <w:t xml:space="preserve">75 Transactions</w:t>
            </w:r>
          </w:p>
        </w:tc>
        <w:tc>
          <w:tcPr/>
          <w:p>
            <w:pPr>
              <w:pStyle w:val="Compact"/>
              <w:jc w:val="left"/>
            </w:pPr>
            <w:r>
              <w:t xml:space="preserve">+16.0%</w:t>
            </w:r>
          </w:p>
        </w:tc>
      </w:tr>
      <w:tr>
        <w:tc>
          <w:tcPr/>
          <w:p>
            <w:pPr>
              <w:pStyle w:val="Compact"/>
              <w:jc w:val="left"/>
            </w:pPr>
            <w:r>
              <w:t xml:space="preserve">Cross-Sell Ratio (Per Banker)</w:t>
            </w:r>
          </w:p>
        </w:tc>
        <w:tc>
          <w:tcPr/>
          <w:p>
            <w:pPr>
              <w:pStyle w:val="Compact"/>
              <w:jc w:val="left"/>
            </w:pPr>
            <w:r>
              <w:t xml:space="preserve">3.2 Products/Client</w:t>
            </w:r>
          </w:p>
        </w:tc>
        <w:tc>
          <w:tcPr/>
          <w:p>
            <w:pPr>
              <w:pStyle w:val="Compact"/>
              <w:jc w:val="left"/>
            </w:pPr>
            <w:r>
              <w:t xml:space="preserve">2.8 Products/Client</w:t>
            </w:r>
          </w:p>
        </w:tc>
        <w:tc>
          <w:tcPr/>
          <w:p>
            <w:pPr>
              <w:pStyle w:val="Compact"/>
              <w:jc w:val="left"/>
            </w:pPr>
            <w:r>
              <w:t xml:space="preserve">+14.3%</w:t>
            </w:r>
          </w:p>
        </w:tc>
      </w:tr>
    </w:tbl>
    <w:bookmarkEnd w:id="22"/>
    <w:bookmarkStart w:id="23" w:name="X10f4bd95cdbaeab1ab5267c5426f6b628a2f86f"/>
    <w:p>
      <w:pPr>
        <w:pStyle w:val="Heading3"/>
      </w:pPr>
      <w:r>
        <w:t xml:space="preserve">Critical Success Factors: The Banker's Role in Abu Dhabi</w:t>
      </w:r>
    </w:p>
    <w:p>
      <w:pPr>
        <w:pStyle w:val="FirstParagraph"/>
      </w:pPr>
      <w:r>
        <w:t xml:space="preserve">The exceptional performance captured in this Sales Report is fundamentally attributable to the strategic execution of our Bankers across Abu Dhabi. Key factors include:</w:t>
      </w:r>
    </w:p>
    <w:p>
      <w:pPr>
        <w:numPr>
          <w:ilvl w:val="0"/>
          <w:numId w:val="1001"/>
        </w:numPr>
        <w:pStyle w:val="Compact"/>
      </w:pPr>
      <w:r>
        <w:rPr>
          <w:bCs/>
          <w:b/>
        </w:rPr>
        <w:t xml:space="preserve">Hyper-Local Market Intelligence:</w:t>
      </w:r>
      <w:r>
        <w:t xml:space="preserve"> </w:t>
      </w:r>
      <w:r>
        <w:t xml:space="preserve">Our Bankers conducted in-depth analysis of Abu Dhabi's economic clusters (e.g., Masdar City, Khalifa Industrial Zone), enabling tailored solutions for local businesses and high-net-worth individuals. This localized approach was critical in winning contracts with UAE-based family offices.</w:t>
      </w:r>
    </w:p>
    <w:p>
      <w:pPr>
        <w:numPr>
          <w:ilvl w:val="0"/>
          <w:numId w:val="1001"/>
        </w:numPr>
        <w:pStyle w:val="Compact"/>
      </w:pPr>
      <w:r>
        <w:rPr>
          <w:bCs/>
          <w:b/>
        </w:rPr>
        <w:t xml:space="preserve">Cultural Proficiency:</w:t>
      </w:r>
      <w:r>
        <w:t xml:space="preserve"> </w:t>
      </w:r>
      <w:r>
        <w:t xml:space="preserve">Bankers demonstrated deep understanding of Emirati business etiquette, Ramadan scheduling preferences, and cultural nuances during client engagements within United Arab Emirates Abu Dhabi. This built unprecedented trust with key decision-makers.</w:t>
      </w:r>
    </w:p>
    <w:p>
      <w:pPr>
        <w:numPr>
          <w:ilvl w:val="0"/>
          <w:numId w:val="1001"/>
        </w:numPr>
        <w:pStyle w:val="Compact"/>
      </w:pPr>
      <w:r>
        <w:rPr>
          <w:bCs/>
          <w:b/>
        </w:rPr>
        <w:t xml:space="preserve">Regulatory Navigation:</w:t>
      </w:r>
      <w:r>
        <w:t xml:space="preserve"> </w:t>
      </w:r>
      <w:r>
        <w:t xml:space="preserve">In compliance with Central Bank of the UAE regulations, our Bankers successfully implemented new KYC frameworks for Abu Dhabi-based clients, reducing onboarding time by 22% while enhancing security.</w:t>
      </w:r>
    </w:p>
    <w:p>
      <w:pPr>
        <w:numPr>
          <w:ilvl w:val="0"/>
          <w:numId w:val="1001"/>
        </w:numPr>
        <w:pStyle w:val="Compact"/>
      </w:pPr>
      <w:r>
        <w:rPr>
          <w:bCs/>
          <w:b/>
        </w:rPr>
        <w:t xml:space="preserve">Digital Integration:</w:t>
      </w:r>
      <w:r>
        <w:t xml:space="preserve"> </w:t>
      </w:r>
      <w:r>
        <w:t xml:space="preserve">Bankers actively promoted ADIB's digital banking suite (e.g., "Abu Dhabi Digital Wallet") during client meetings, aligning with the UAE's Vision 2031 digital transformation goals. This resulted in a 35% increase in digital product adoption.</w:t>
      </w:r>
    </w:p>
    <w:bookmarkEnd w:id="23"/>
    <w:bookmarkStart w:id="24" w:name="Xf633a725d78493d47468ad880c7262747e6c3b0"/>
    <w:p>
      <w:pPr>
        <w:pStyle w:val="Heading3"/>
      </w:pPr>
      <w:r>
        <w:t xml:space="preserve">Challenges Faced by Bankers in Abu Dhabi Market</w:t>
      </w:r>
    </w:p>
    <w:p>
      <w:pPr>
        <w:pStyle w:val="FirstParagraph"/>
      </w:pPr>
      <w:r>
        <w:t xml:space="preserve">This Sales Report also identifies key challenges requiring strategic attention:</w:t>
      </w:r>
    </w:p>
    <w:p>
      <w:pPr>
        <w:numPr>
          <w:ilvl w:val="0"/>
          <w:numId w:val="1002"/>
        </w:numPr>
        <w:pStyle w:val="Compact"/>
      </w:pPr>
      <w:r>
        <w:rPr>
          <w:bCs/>
          <w:b/>
        </w:rPr>
        <w:t xml:space="preserve">Competition from Regional Hubs:</w:t>
      </w:r>
      <w:r>
        <w:t xml:space="preserve"> </w:t>
      </w:r>
      <w:r>
        <w:t xml:space="preserve">Increased activity from DIFC-based institutions has intensified competition for premium Abu Dhabi clients. Our Bankers reported needing enhanced value propositions to differentiate.</w:t>
      </w:r>
    </w:p>
    <w:p>
      <w:pPr>
        <w:numPr>
          <w:ilvl w:val="0"/>
          <w:numId w:val="1002"/>
        </w:numPr>
        <w:pStyle w:val="Compact"/>
      </w:pPr>
      <w:r>
        <w:rPr>
          <w:bCs/>
          <w:b/>
        </w:rPr>
        <w:t xml:space="preserve">Regulatory Complexity:</w:t>
      </w:r>
      <w:r>
        <w:t xml:space="preserve"> </w:t>
      </w:r>
      <w:r>
        <w:t xml:space="preserve">Evolving requirements around ESG (Environmental, Social, Governance) reporting in UAE banking added administrative burden for our Bankers during client presentations.</w:t>
      </w:r>
    </w:p>
    <w:p>
      <w:pPr>
        <w:numPr>
          <w:ilvl w:val="0"/>
          <w:numId w:val="1002"/>
        </w:numPr>
        <w:pStyle w:val="Compact"/>
      </w:pPr>
      <w:r>
        <w:rPr>
          <w:bCs/>
          <w:b/>
        </w:rPr>
        <w:t xml:space="preserve">Client Expectation Shifts:</w:t>
      </w:r>
      <w:r>
        <w:t xml:space="preserve"> </w:t>
      </w:r>
      <w:r>
        <w:t xml:space="preserve">Post-pandemic, Abu Dhabi clients demand faster service and more transparent pricing. Our Sales Report indicates 40% of client acquisition challenges stemmed from unmet expectations on response times.</w:t>
      </w:r>
    </w:p>
    <w:bookmarkEnd w:id="24"/>
    <w:bookmarkStart w:id="25" w:name="X3cd8dd463c0045350c7c731f2f450d025ab34b4"/>
    <w:p>
      <w:pPr>
        <w:pStyle w:val="Heading3"/>
      </w:pPr>
      <w:r>
        <w:t xml:space="preserve">Strategic Recommendations for Bankers in United Arab Emirates Abu Dhabi</w:t>
      </w:r>
    </w:p>
    <w:p>
      <w:pPr>
        <w:pStyle w:val="FirstParagraph"/>
      </w:pPr>
      <w:r>
        <w:t xml:space="preserve">To maintain momentum, the following recommendations are imperative for every Banker operating within the Abu Dhabi banking sector:</w:t>
      </w:r>
    </w:p>
    <w:p>
      <w:pPr>
        <w:numPr>
          <w:ilvl w:val="0"/>
          <w:numId w:val="1003"/>
        </w:numPr>
        <w:pStyle w:val="Compact"/>
      </w:pPr>
      <w:r>
        <w:rPr>
          <w:bCs/>
          <w:b/>
        </w:rPr>
        <w:t xml:space="preserve">Enhance Sharia-Compliant Product Expertise:</w:t>
      </w:r>
      <w:r>
        <w:t xml:space="preserve"> </w:t>
      </w:r>
      <w:r>
        <w:t xml:space="preserve">Invest in specialized training on emerging Islamic finance instruments to capitalize on UAE's growing halal economy market.</w:t>
      </w:r>
    </w:p>
    <w:p>
      <w:pPr>
        <w:numPr>
          <w:ilvl w:val="0"/>
          <w:numId w:val="1003"/>
        </w:numPr>
        <w:pStyle w:val="Compact"/>
      </w:pPr>
      <w:r>
        <w:rPr>
          <w:bCs/>
          <w:b/>
        </w:rPr>
        <w:t xml:space="preserve">Implement Abu Dhabi-Specific CRM Protocols:</w:t>
      </w:r>
      <w:r>
        <w:t xml:space="preserve"> </w:t>
      </w:r>
      <w:r>
        <w:t xml:space="preserve">Develop a localized CRM system tracking client engagement preferences (e.g., preferred meeting times aligned with Emirati work culture).</w:t>
      </w:r>
    </w:p>
    <w:p>
      <w:pPr>
        <w:numPr>
          <w:ilvl w:val="0"/>
          <w:numId w:val="1003"/>
        </w:numPr>
        <w:pStyle w:val="Compact"/>
      </w:pPr>
      <w:r>
        <w:rPr>
          <w:bCs/>
          <w:b/>
        </w:rPr>
        <w:t xml:space="preserve">Leverage Abu Dhabi Economic Zones:</w:t>
      </w:r>
      <w:r>
        <w:t xml:space="preserve"> </w:t>
      </w:r>
      <w:r>
        <w:t xml:space="preserve">Target clients in ADGM, Zayed Port, and Tawazun Economic Zone through dedicated Banker outreach programs.</w:t>
      </w:r>
    </w:p>
    <w:p>
      <w:pPr>
        <w:numPr>
          <w:ilvl w:val="0"/>
          <w:numId w:val="1003"/>
        </w:numPr>
        <w:pStyle w:val="Compact"/>
      </w:pPr>
      <w:r>
        <w:rPr>
          <w:bCs/>
          <w:b/>
        </w:rPr>
        <w:t xml:space="preserve">Build Strategic Partnerships:</w:t>
      </w:r>
      <w:r>
        <w:t xml:space="preserve"> </w:t>
      </w:r>
      <w:r>
        <w:t xml:space="preserve">Forge alliances with Abu Dhabi-based entities like ADQ (Abu Dhabi Developmental Holding Company) and Etihad Airways for bundled financial solutions.</w:t>
      </w:r>
    </w:p>
    <w:bookmarkEnd w:id="25"/>
    <w:bookmarkStart w:id="26" w:name="conclusion"/>
    <w:p>
      <w:pPr>
        <w:pStyle w:val="Heading3"/>
      </w:pPr>
      <w:r>
        <w:t xml:space="preserve">Conclusion</w:t>
      </w:r>
    </w:p>
    <w:p>
      <w:pPr>
        <w:pStyle w:val="FirstParagraph"/>
      </w:pPr>
      <w:r>
        <w:t xml:space="preserve">This Sales Report unequivocally demonstrates how the dedicated efforts of our Banker team have positioned us for sustained growth in Abu Dhabi, the economic heartland of the United Arab Emirates. By focusing on cultural intelligence, regulatory compliance, and market-specific solutions within Abu Dhabi's unique ecosystem, our branch has not only met but exceeded strategic objectives. As we move into Q4 2024, the emphasis must remain on deepening relationships with Abu Dhabi-based entities while expanding our digital capabilities in line with UAE government initiatives. The Banker remains the critical success factor – their localized expertise and client-centric approach are irreplaceable assets in navigating the complexities of United Arab Emirates Abu Dhabi's dynamic financial environment. We recommend allocating 15% of quarterly training budgets specifically to Abu Dhabi market scenario simulations for all Bankers, ensuring continued excellence in this vital region.</w:t>
      </w:r>
    </w:p>
    <w:p>
      <w:pPr>
        <w:pStyle w:val="BodyText"/>
      </w:pPr>
      <w:r>
        <w:t xml:space="preserve">"In the United Arab Emirates Abu Dhabi banking sector, success belongs to those who understand the local pulse. Our Bankers are not just sales representatives – they are strategic partners in Abu Dhabi's financial future."</w:t>
      </w:r>
    </w:p>
    <w:p>
      <w:r>
        <w:pict>
          <v:rect style="width:0;height:1.5pt" o:hralign="center" o:hrstd="t" o:hr="t"/>
        </w:pict>
      </w:r>
    </w:p>
    <w:p>
      <w:pPr>
        <w:pStyle w:val="FirstParagraph"/>
      </w:pPr>
      <w:r>
        <w:t xml:space="preserve">This Sales Report is confidential and intended solely for internal use within Abu Dhabi Banking Division, United Arab Emirates. Prepared on October 26, 2024.</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Abu Dhabi Branch Sales Performance Report | Q3 2024</dc:title>
  <dc:creator/>
  <cp:keywords/>
  <dcterms:created xsi:type="dcterms:W3CDTF">2026-07-24T04:55:58Z</dcterms:created>
  <dcterms:modified xsi:type="dcterms:W3CDTF">2026-07-24T04:55:58Z</dcterms:modified>
</cp:coreProperties>
</file>

<file path=docProps/custom.xml><?xml version="1.0" encoding="utf-8"?>
<Properties xmlns="http://schemas.openxmlformats.org/officeDocument/2006/custom-properties" xmlns:vt="http://schemas.openxmlformats.org/officeDocument/2006/docPropsVTypes"/>
</file>