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2023</w:t>
      </w:r>
      <w:r>
        <w:t xml:space="preserve"> </w:t>
      </w:r>
      <w:r>
        <w:t xml:space="preserve">Sales</w:t>
      </w:r>
      <w:r>
        <w:t xml:space="preserve"> </w:t>
      </w:r>
      <w:r>
        <w:t xml:space="preserve">Report:</w:t>
      </w:r>
      <w:r>
        <w:t xml:space="preserve"> </w:t>
      </w:r>
      <w:r>
        <w:t xml:space="preserve">Banking</w:t>
      </w:r>
      <w:r>
        <w:t xml:space="preserve"> </w:t>
      </w:r>
      <w:r>
        <w:t xml:space="preserve">Performance</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7" w:name="Xcb14e513931aa1c0769bac3c38813b5e2b8d647"/>
    <w:p>
      <w:pPr>
        <w:pStyle w:val="Heading1"/>
      </w:pPr>
      <w:r>
        <w:t xml:space="preserve">Q3 2023 Sales Report for Banking Services in United Arab Emirates Dubai</w:t>
      </w:r>
    </w:p>
    <w:p>
      <w:pPr>
        <w:pStyle w:val="FirstParagraph"/>
      </w:pPr>
      <w:r>
        <w:t xml:space="preserve">This comprehensive</w:t>
      </w:r>
      <w:r>
        <w:t xml:space="preserve"> </w:t>
      </w:r>
      <w:r>
        <w:rPr>
          <w:bCs/>
          <w:b/>
        </w:rPr>
        <w:t xml:space="preserve">Sales Report</w:t>
      </w:r>
      <w:r>
        <w:t xml:space="preserve"> </w:t>
      </w:r>
      <w:r>
        <w:t xml:space="preserve">presents a detailed analysis of banking performance across the United Arab Emirates Dubai financial market during the third quarter of 2023. Prepared by the Executive Sales Department, this document serves as a critical strategic tool for all banking professionals operating within the dynamic Dubai ecosystem. As one of the world's leading financial hubs, Dubai demands exceptional sales acumen from every</w:t>
      </w:r>
      <w:r>
        <w:t xml:space="preserve"> </w:t>
      </w:r>
      <w:r>
        <w:rPr>
          <w:bCs/>
          <w:b/>
        </w:rPr>
        <w:t xml:space="preserve">Banker</w:t>
      </w:r>
      <w:r>
        <w:t xml:space="preserve"> </w:t>
      </w:r>
      <w:r>
        <w:t xml:space="preserve">to navigate its unique market complexities.</w:t>
      </w:r>
    </w:p>
    <w:bookmarkStart w:id="20" w:name="X0691d0ddede3eb9f33e53b2c97dd67bfc37dca3"/>
    <w:p>
      <w:pPr>
        <w:pStyle w:val="Heading2"/>
      </w:pPr>
      <w:r>
        <w:t xml:space="preserve">Executive Summary: Market Momentum in United Arab Emirates Dubai</w:t>
      </w:r>
    </w:p>
    <w:p>
      <w:pPr>
        <w:pStyle w:val="FirstParagraph"/>
      </w:pPr>
      <w:r>
        <w:t xml:space="preserve">The Q3 2023 period witnessed unprecedented growth across Dubai's banking sector, with total sales reaching AED 1.84 billion – a remarkable 18.7% increase from Q2 and 34% year-over-year. This surge was driven by strategic initiatives targeting high-net-worth individuals (HNWIs) and corporate clients in the UAE's most prominent business corridors: Dubai International Financial Centre (DIFC), Business Bay, and Downtown Dubai. Every</w:t>
      </w:r>
      <w:r>
        <w:t xml:space="preserve"> </w:t>
      </w:r>
      <w:r>
        <w:rPr>
          <w:bCs/>
          <w:b/>
        </w:rPr>
        <w:t xml:space="preserve">Banker</w:t>
      </w:r>
      <w:r>
        <w:t xml:space="preserve"> </w:t>
      </w:r>
      <w:r>
        <w:t xml:space="preserve">in our organization contributed to this success through personalized client engagement strategies tailored for the United Arab Emirates Dubai market landscape. The sales pipeline now exceeds AED 3.2 billion, signaling strong momentum into Q4.</w:t>
      </w:r>
    </w:p>
    <w:p>
      <w:pPr>
        <w:pStyle w:val="BodyText"/>
      </w:pPr>
      <w:r>
        <w:t xml:space="preserve">"Dubai's banking sector isn't just thriving—it's redefining global financial service delivery. Our Sales Report confirms that the most successful</w:t>
      </w:r>
      <w:r>
        <w:t xml:space="preserve"> </w:t>
      </w:r>
      <w:r>
        <w:rPr>
          <w:bCs/>
          <w:b/>
        </w:rPr>
        <w:t xml:space="preserve">Banker</w:t>
      </w:r>
      <w:r>
        <w:t xml:space="preserve"> </w:t>
      </w:r>
      <w:r>
        <w:t xml:space="preserve">in United Arab Emirates Dubai today is one who understands cultural nuances alongside market analytics."</w:t>
      </w:r>
    </w:p>
    <w:bookmarkEnd w:id="20"/>
    <w:bookmarkStart w:id="21" w:name="X11f9a1547ec1404640dde781c7d6545a04d23e4"/>
    <w:p>
      <w:pPr>
        <w:pStyle w:val="Heading2"/>
      </w:pPr>
      <w:r>
        <w:t xml:space="preserve">Key Performance Indicators: Dubai-Specific Metrics</w:t>
      </w:r>
    </w:p>
    <w:p>
      <w:pPr>
        <w:pStyle w:val="FirstParagraph"/>
      </w:pPr>
      <w:r>
        <w:t xml:space="preserve">We've implemented region-specific KPIs to measure success in the United Arab Emirates Dubai context. The following metrics highlight our exceptional performance:</w:t>
      </w:r>
    </w:p>
    <w:p>
      <w:pPr>
        <w:numPr>
          <w:ilvl w:val="0"/>
          <w:numId w:val="1001"/>
        </w:numPr>
        <w:pStyle w:val="Compact"/>
      </w:pPr>
      <w:r>
        <w:rPr>
          <w:bCs/>
          <w:b/>
        </w:rPr>
        <w:t xml:space="preserve">Corporate Lending Growth</w:t>
      </w:r>
      <w:r>
        <w:t xml:space="preserve">: +41% YoY, driven by infrastructure projects like Expo City and Dubai South</w:t>
      </w:r>
    </w:p>
    <w:p>
      <w:pPr>
        <w:numPr>
          <w:ilvl w:val="0"/>
          <w:numId w:val="1001"/>
        </w:numPr>
        <w:pStyle w:val="Compact"/>
      </w:pPr>
      <w:r>
        <w:rPr>
          <w:bCs/>
          <w:b/>
        </w:rPr>
        <w:t xml:space="preserve">Islamic Banking Products</w:t>
      </w:r>
      <w:r>
        <w:t xml:space="preserve">: 27% market share (exceeding regional average of 22%), reflecting Dubai's strategic focus on Sharia-compliant services</w:t>
      </w:r>
    </w:p>
    <w:p>
      <w:pPr>
        <w:numPr>
          <w:ilvl w:val="0"/>
          <w:numId w:val="1001"/>
        </w:numPr>
        <w:pStyle w:val="Compact"/>
      </w:pPr>
      <w:r>
        <w:rPr>
          <w:bCs/>
          <w:b/>
        </w:rPr>
        <w:t xml:space="preserve">Client Acquisition Rate</w:t>
      </w:r>
      <w:r>
        <w:t xml:space="preserve">: 38% increase in new HNWI clients through targeted events at Dubai Mall and Palm Jumeirah</w:t>
      </w:r>
    </w:p>
    <w:p>
      <w:pPr>
        <w:numPr>
          <w:ilvl w:val="0"/>
          <w:numId w:val="1001"/>
        </w:numPr>
        <w:pStyle w:val="Compact"/>
      </w:pPr>
      <w:r>
        <w:rPr>
          <w:bCs/>
          <w:b/>
        </w:rPr>
        <w:t xml:space="preserve">Customer Retention Rate</w:t>
      </w:r>
      <w:r>
        <w:t xml:space="preserve">: 92.5% (vs. industry average of 84%) due to our bespoke relationship management approach for United Arab Emirates Dubai clients</w:t>
      </w:r>
    </w:p>
    <w:bookmarkEnd w:id="21"/>
    <w:bookmarkStart w:id="22" w:name="X7454568e54ab9c7e3e2a0ed1bb79eff8aeadec0"/>
    <w:p>
      <w:pPr>
        <w:pStyle w:val="Heading2"/>
      </w:pPr>
      <w:r>
        <w:t xml:space="preserve">Market Analysis: Dubai's Unique Banking Dynamics</w:t>
      </w:r>
    </w:p>
    <w:p>
      <w:pPr>
        <w:pStyle w:val="FirstParagraph"/>
      </w:pPr>
      <w:r>
        <w:t xml:space="preserve">The United Arab Emirates Dubai market continues to differentiate itself through rapid innovation and cultural sophistication. Our Sales Report identifies three critical factors influencing performance:</w:t>
      </w:r>
    </w:p>
    <w:p>
      <w:pPr>
        <w:pStyle w:val="BodyText"/>
      </w:pPr>
      <w:r>
        <w:rPr>
          <w:bCs/>
          <w:b/>
        </w:rPr>
        <w:t xml:space="preserve">1. Regulatory Evolution</w:t>
      </w:r>
      <w:r>
        <w:t xml:space="preserve">: The Central Bank of the UAE's 2023 digital banking framework has accelerated fintech adoption, with Dubai-based banks capturing 68% of new digital banking clients. Every</w:t>
      </w:r>
      <w:r>
        <w:t xml:space="preserve"> </w:t>
      </w:r>
      <w:r>
        <w:rPr>
          <w:bCs/>
          <w:b/>
        </w:rPr>
        <w:t xml:space="preserve">Banker</w:t>
      </w:r>
      <w:r>
        <w:t xml:space="preserve"> </w:t>
      </w:r>
      <w:r>
        <w:t xml:space="preserve">must now master platforms like DIFC's RegTech solutions to serve Dubai's tech-forward clientele.</w:t>
      </w:r>
    </w:p>
    <w:p>
      <w:pPr>
        <w:pStyle w:val="BodyText"/>
      </w:pPr>
      <w:r>
        <w:rPr>
          <w:bCs/>
          <w:b/>
        </w:rPr>
        <w:t xml:space="preserve">2. Regional Investment Trends</w:t>
      </w:r>
      <w:r>
        <w:t xml:space="preserve">: With UAE Vision 2031 driving sovereign wealth fund allocations, we've secured AED 450 million in Q3 from Abu Dhabi and Dubai-based funds for our investment division – a 73% increase from last year. This underscores Dubai's role as the United Arab Emirates' primary capital mobilization center.</w:t>
      </w:r>
    </w:p>
    <w:p>
      <w:pPr>
        <w:pStyle w:val="BodyText"/>
      </w:pPr>
      <w:r>
        <w:rPr>
          <w:bCs/>
          <w:b/>
        </w:rPr>
        <w:t xml:space="preserve">3. Cultural Intelligence</w:t>
      </w:r>
      <w:r>
        <w:t xml:space="preserve">: Our sales team's success stems from understanding Emirati business etiquette and Gulf market preferences. For instance, Ramadan-led client engagement campaigns generated 14% of all Q3 revenue – a metric that would be impossible without cultural expertise unique to Dubai operations.</w:t>
      </w:r>
    </w:p>
    <w:bookmarkEnd w:id="22"/>
    <w:bookmarkStart w:id="23" w:name="X72c674bccb275ad7556542de90343f83fc7d81f"/>
    <w:p>
      <w:pPr>
        <w:pStyle w:val="Heading2"/>
      </w:pPr>
      <w:r>
        <w:t xml:space="preserve">Client Acquisition Strategy: The Dubai Advantage</w:t>
      </w:r>
    </w:p>
    <w:p>
      <w:pPr>
        <w:pStyle w:val="FirstParagraph"/>
      </w:pPr>
      <w:r>
        <w:t xml:space="preserve">Our most effective sales approach in United Arab Emirates Dubai combines digital precision with traditional relationship-building. The "Dubai Engagement Framework" has become the gold standard:</w:t>
      </w:r>
    </w:p>
    <w:p>
      <w:pPr>
        <w:numPr>
          <w:ilvl w:val="0"/>
          <w:numId w:val="1002"/>
        </w:numPr>
        <w:pStyle w:val="Compact"/>
      </w:pPr>
      <w:r>
        <w:rPr>
          <w:bCs/>
          <w:b/>
        </w:rPr>
        <w:t xml:space="preserve">Digital Touchpoints</w:t>
      </w:r>
      <w:r>
        <w:t xml:space="preserve">: 76% of initial client interactions now occur through our Dubai-hosted mobile platform (launched Q1 2023), featuring Arabic/English dual-language support</w:t>
      </w:r>
    </w:p>
    <w:p>
      <w:pPr>
        <w:numPr>
          <w:ilvl w:val="0"/>
          <w:numId w:val="1002"/>
        </w:numPr>
        <w:pStyle w:val="Compact"/>
      </w:pPr>
      <w:r>
        <w:rPr>
          <w:bCs/>
          <w:b/>
        </w:rPr>
        <w:t xml:space="preserve">High-Value Events</w:t>
      </w:r>
      <w:r>
        <w:t xml:space="preserve">: Exclusive networking dinners at Burj Al Arab and Dubai Marina generated 43 new corporate accounts in Q3 alone</w:t>
      </w:r>
    </w:p>
    <w:p>
      <w:pPr>
        <w:pStyle w:val="FirstParagraph"/>
      </w:pPr>
      <w:r>
        <w:t xml:space="preserve">"This Sales Report proves that in the competitive United Arab Emirates Dubai banking landscape, success isn't about closing deals – it's about understanding how your client navigates Dubai. The top-performing Banker doesn't just sell products; they become a strategic partner within Dubai's business community."</w:t>
      </w:r>
    </w:p>
    <w:bookmarkEnd w:id="23"/>
    <w:bookmarkStart w:id="24" w:name="challenges-and-strategic-imperatives"/>
    <w:p>
      <w:pPr>
        <w:pStyle w:val="Heading2"/>
      </w:pPr>
      <w:r>
        <w:t xml:space="preserve">Challenges and Strategic Imperatives</w:t>
      </w:r>
    </w:p>
    <w:p>
      <w:pPr>
        <w:pStyle w:val="FirstParagraph"/>
      </w:pPr>
      <w:r>
        <w:t xml:space="preserve">Despite strong results, our Sales Report identifies critical areas requiring focused attention:</w:t>
      </w:r>
    </w:p>
    <w:p>
      <w:pPr>
        <w:numPr>
          <w:ilvl w:val="0"/>
          <w:numId w:val="1003"/>
        </w:numPr>
        <w:pStyle w:val="Compact"/>
      </w:pPr>
      <w:r>
        <w:rPr>
          <w:bCs/>
          <w:b/>
        </w:rPr>
        <w:t xml:space="preserve">Dubai Competition</w:t>
      </w:r>
      <w:r>
        <w:t xml:space="preserve">: With 16 new banking licenses approved in DIFC this year, differentiation through hyper-localized services is now non-negotiable for every Banker.</w:t>
      </w:r>
    </w:p>
    <w:p>
      <w:pPr>
        <w:numPr>
          <w:ilvl w:val="0"/>
          <w:numId w:val="1003"/>
        </w:numPr>
        <w:pStyle w:val="Compact"/>
      </w:pPr>
      <w:r>
        <w:rPr>
          <w:bCs/>
          <w:b/>
        </w:rPr>
        <w:t xml:space="preserve">Regulatory Compliance</w:t>
      </w:r>
      <w:r>
        <w:t xml:space="preserve">: New AML requirements demand continuous training – our compliance score increased 32% after Q3 workshops focused specifically on Dubai's regulatory environment.</w:t>
      </w:r>
    </w:p>
    <w:p>
      <w:pPr>
        <w:numPr>
          <w:ilvl w:val="0"/>
          <w:numId w:val="1003"/>
        </w:numPr>
        <w:pStyle w:val="Compact"/>
      </w:pPr>
      <w:r>
        <w:rPr>
          <w:bCs/>
          <w:b/>
        </w:rPr>
        <w:t xml:space="preserve">Talent Retention</w:t>
      </w:r>
      <w:r>
        <w:t xml:space="preserve">: 89% of top performers cite cultural alignment as critical to their success in United Arab Emirates Dubai – leading us to implement enhanced Emirati culture immersion programs.</w:t>
      </w:r>
    </w:p>
    <w:bookmarkEnd w:id="24"/>
    <w:bookmarkStart w:id="25" w:name="X580eb4f483bc191141b012af9ff192cafb20138"/>
    <w:p>
      <w:pPr>
        <w:pStyle w:val="Heading2"/>
      </w:pPr>
      <w:r>
        <w:t xml:space="preserve">Q4 Strategic Roadmap: Positioning for Dubai's Future</w:t>
      </w:r>
    </w:p>
    <w:p>
      <w:pPr>
        <w:pStyle w:val="FirstParagraph"/>
      </w:pPr>
      <w:r>
        <w:t xml:space="preserve">Based on this Sales Report, we've developed a targeted Q4 strategy focused exclusively on Dubai's growth vectors:</w:t>
      </w:r>
    </w:p>
    <w:p>
      <w:pPr>
        <w:numPr>
          <w:ilvl w:val="0"/>
          <w:numId w:val="1004"/>
        </w:numPr>
        <w:pStyle w:val="Compact"/>
      </w:pPr>
      <w:r>
        <w:rPr>
          <w:bCs/>
          <w:b/>
        </w:rPr>
        <w:t xml:space="preserve">Leverage Expo 2023 Legacy</w:t>
      </w:r>
      <w:r>
        <w:t xml:space="preserve">: Convert Expo visitors into long-term clients through dedicated Dubai business center partnerships</w:t>
      </w:r>
    </w:p>
    <w:p>
      <w:pPr>
        <w:numPr>
          <w:ilvl w:val="0"/>
          <w:numId w:val="1004"/>
        </w:numPr>
        <w:pStyle w:val="Compact"/>
      </w:pPr>
      <w:r>
        <w:rPr>
          <w:bCs/>
          <w:b/>
        </w:rPr>
        <w:t xml:space="preserve">Expand Sovereign Wealth Services</w:t>
      </w:r>
      <w:r>
        <w:t xml:space="preserve">: Develop tailored solutions for ADIA, Mubadala, and Dubai Holding entities – expected to drive AED 850 million in Q4 sales</w:t>
      </w:r>
    </w:p>
    <w:p>
      <w:pPr>
        <w:numPr>
          <w:ilvl w:val="0"/>
          <w:numId w:val="1004"/>
        </w:numPr>
        <w:pStyle w:val="Compact"/>
      </w:pPr>
      <w:r>
        <w:rPr>
          <w:bCs/>
          <w:b/>
        </w:rPr>
        <w:t xml:space="preserve">AI-Powered Client Insights</w:t>
      </w:r>
      <w:r>
        <w:t xml:space="preserve">: Launch Dubai-specific analytics dashboard showing real-time market trends relevant to each client's sector (e.g., tourism, real estate, logistics)</w:t>
      </w:r>
    </w:p>
    <w:bookmarkEnd w:id="25"/>
    <w:bookmarkStart w:id="26" w:name="X1035efe70a33e8ae7c22fda2d774c25fbff2a0d"/>
    <w:p>
      <w:pPr>
        <w:pStyle w:val="Heading2"/>
      </w:pPr>
      <w:r>
        <w:t xml:space="preserve">Conclusion: The Banker as Dubai's Financial Ambassador</w:t>
      </w:r>
    </w:p>
    <w:p>
      <w:pPr>
        <w:pStyle w:val="FirstParagraph"/>
      </w:pPr>
      <w:r>
        <w:t xml:space="preserve">This Q3 Sales Report unequivocally demonstrates that in the United Arab Emirates Dubai context, banking success is measured not just in numbers, but in deep market understanding. The most effective</w:t>
      </w:r>
      <w:r>
        <w:t xml:space="preserve"> </w:t>
      </w:r>
      <w:r>
        <w:rPr>
          <w:bCs/>
          <w:b/>
        </w:rPr>
        <w:t xml:space="preserve">Banker</w:t>
      </w:r>
      <w:r>
        <w:t xml:space="preserve"> </w:t>
      </w:r>
      <w:r>
        <w:t xml:space="preserve">doesn't merely manage accounts – they become trusted advisors within Dubai's economic fabric. As we move into 2024, our Sales Report will continue to emphasize two pillars: cultural intelligence rooted in Dubai's unique business environment and data-driven strategies that anticipate the market needs of United Arab Emirates Dubai clients.</w:t>
      </w:r>
    </w:p>
    <w:p>
      <w:pPr>
        <w:pStyle w:val="BodyText"/>
      </w:pPr>
      <w:r>
        <w:t xml:space="preserve">For every banker operating within the United Arab Emirates Dubai ecosystem, this report serves as both a performance benchmark and a strategic compass. The future of banking in our region belongs to those who master Dubai's dynamic rhythms – and our Q3 results prove we are leading that transformation. We stand ready to support every</w:t>
      </w:r>
      <w:r>
        <w:t xml:space="preserve"> </w:t>
      </w:r>
      <w:r>
        <w:rPr>
          <w:bCs/>
          <w:b/>
        </w:rPr>
        <w:t xml:space="preserve">Banker</w:t>
      </w:r>
      <w:r>
        <w:t xml:space="preserve"> </w:t>
      </w:r>
      <w:r>
        <w:t xml:space="preserve">in achieving unprecedented success as the United Arab Emirates Dubai market continues its remarkable ascent.</w:t>
      </w:r>
    </w:p>
    <w:p>
      <w:pPr>
        <w:pStyle w:val="BodyText"/>
      </w:pPr>
      <w:r>
        <w:t xml:space="preserve">This Sales Report | Prepared for United Arab Emirates Dubai Banking Operations | Q3 2023 | Confidential: For Internal Use Only</w:t>
      </w:r>
    </w:p>
    <w:p>
      <w:pPr>
        <w:pStyle w:val="BodyText"/>
      </w:pPr>
      <w:r>
        <w:t xml:space="preserve">© 2023 [Bank Name] - Driving Financial Excellence Across United Arab Emirates Dubai</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2023 Sales Report: Banking Performance in United Arab Emirates Dubai</dc:title>
  <dc:creator/>
  <dc:language>en</dc:language>
  <cp:keywords/>
  <dcterms:created xsi:type="dcterms:W3CDTF">2026-07-24T00:30:23Z</dcterms:created>
  <dcterms:modified xsi:type="dcterms:W3CDTF">2026-07-24T00:30:23Z</dcterms:modified>
</cp:coreProperties>
</file>

<file path=docProps/custom.xml><?xml version="1.0" encoding="utf-8"?>
<Properties xmlns="http://schemas.openxmlformats.org/officeDocument/2006/custom-properties" xmlns:vt="http://schemas.openxmlformats.org/officeDocument/2006/docPropsVTypes"/>
</file>