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Birmingham</w:t>
      </w:r>
      <w:r>
        <w:t xml:space="preserve"> </w:t>
      </w:r>
      <w:r>
        <w:t xml:space="preserve">Banking</w:t>
      </w:r>
      <w:r>
        <w:t xml:space="preserve"> </w:t>
      </w:r>
      <w:r>
        <w:t xml:space="preserve">Performance</w:t>
      </w:r>
    </w:p>
    <w:bookmarkStart w:id="27" w:name="X824f8df742fd7bf549128746759a2e58cf3ac1c"/>
    <w:p>
      <w:pPr>
        <w:pStyle w:val="Heading1"/>
      </w:pPr>
      <w:r>
        <w:t xml:space="preserve">Quarterly Sales Report: Strategic Growth and Market Expansion for Banker Operations in United Kingdom Birmingham</w:t>
      </w:r>
    </w:p>
    <w:p>
      <w:pPr>
        <w:pStyle w:val="FirstParagraph"/>
      </w:pPr>
      <w:r>
        <w:rPr>
          <w:bCs/>
          <w:b/>
        </w:rPr>
        <w:t xml:space="preserve">Prepared For:</w:t>
      </w:r>
      <w:r>
        <w:t xml:space="preserve"> </w:t>
      </w:r>
      <w:r>
        <w:t xml:space="preserve">Executive Leadership, Birmingham Branch Management</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Quarterly Sales Report details the performance of our banking operations within the United Kingdom Birmingham market, focusing on strategic initiatives driven by our dedicated Banker teams. Birmingham remains a pivotal commercial hub in the UK, and this report underscores how targeted sales strategies aligned with local economic dynamics have positioned us for sustained growth. Our Banker professionals delivered exceptional results across retail banking, commercial lending, and SME finance segments, achieving a 14.2% year-on-year increase in new client acquisition within Birmingham city boundaries. This success was directly attributable to our banker-centric approach that prioritizes community engagement and hyper-local market intelligence.</w:t>
      </w:r>
    </w:p>
    <w:bookmarkEnd w:id="20"/>
    <w:bookmarkStart w:id="21" w:name="X2b8b6d311256cda688755bd1068fe22d6a8adfc"/>
    <w:p>
      <w:pPr>
        <w:pStyle w:val="Heading2"/>
      </w:pPr>
      <w:r>
        <w:t xml:space="preserve">Market Context: United Kingdom Birmingham as a Sales Engine</w:t>
      </w:r>
    </w:p>
    <w:p>
      <w:pPr>
        <w:pStyle w:val="FirstParagraph"/>
      </w:pPr>
      <w:r>
        <w:t xml:space="preserve">Birmingham’s unique economic profile – the UK’s second-largest city with a diverse economy spanning advanced manufacturing, financial services, retail (notably the Bull Ring complex), and education – presents unparalleled sales opportunities. As a Banker operating within this ecosystem, understanding local nuances is non-negotiable. The city’s ongoing regeneration projects (e.g., HS2 integration at Birmingham Curzon Street station) and its status as a global hub for SMEs (80% of Birmingham's economy is SME-driven) demand tailored sales solutions. Our Sales Report reflects a deliberate pivot towards serving these distinct sectors, moving beyond generic offerings to deliver value propositions that resonate with Birmingham businesses and residents.</w:t>
      </w:r>
    </w:p>
    <w:bookmarkEnd w:id="21"/>
    <w:bookmarkStart w:id="22" w:name="X1c015924bd565401e8c9af3b46eb0f86985e0f6"/>
    <w:p>
      <w:pPr>
        <w:pStyle w:val="Heading2"/>
      </w:pPr>
      <w:r>
        <w:t xml:space="preserve">Key Sales Performance Metrics: Birmingham Focus</w:t>
      </w:r>
    </w:p>
    <w:p>
      <w:pPr>
        <w:pStyle w:val="FirstParagraph"/>
      </w:pPr>
      <w:r>
        <w:t xml:space="preserve">The following metrics highlight the impact of our Banker-led sales strategies within the United Kingdom Birmingham market:</w:t>
      </w:r>
    </w:p>
    <w:p>
      <w:pPr>
        <w:numPr>
          <w:ilvl w:val="0"/>
          <w:numId w:val="1001"/>
        </w:numPr>
        <w:pStyle w:val="Compact"/>
      </w:pPr>
      <w:r>
        <w:rPr>
          <w:bCs/>
          <w:b/>
        </w:rPr>
        <w:t xml:space="preserve">New Business Acquired (Birmingham):</w:t>
      </w:r>
      <w:r>
        <w:t xml:space="preserve"> </w:t>
      </w:r>
      <w:r>
        <w:t xml:space="preserve">£18.7 million (vs. £16.4m Q3 2022) – driven by targeted outreach to manufacturing clusters in Sparkbrook and Small Heath.</w:t>
      </w:r>
    </w:p>
    <w:p>
      <w:pPr>
        <w:numPr>
          <w:ilvl w:val="0"/>
          <w:numId w:val="1001"/>
        </w:numPr>
        <w:pStyle w:val="Compact"/>
      </w:pPr>
      <w:r>
        <w:rPr>
          <w:bCs/>
          <w:b/>
        </w:rPr>
        <w:t xml:space="preserve">SME Lending Portfolio Growth:</w:t>
      </w:r>
      <w:r>
        <w:t xml:space="preserve"> </w:t>
      </w:r>
      <w:r>
        <w:t xml:space="preserve">+23% in Birmingham branches; specifically, 45 new commercial accounts secured with local manufacturers (e.g., precision engineering firms near the Birmingham Airport Enterprise Zone).</w:t>
      </w:r>
    </w:p>
    <w:p>
      <w:pPr>
        <w:numPr>
          <w:ilvl w:val="0"/>
          <w:numId w:val="1001"/>
        </w:numPr>
        <w:pStyle w:val="Compact"/>
      </w:pPr>
      <w:r>
        <w:rPr>
          <w:bCs/>
          <w:b/>
        </w:rPr>
        <w:t xml:space="preserve">Retail Product Uptake:</w:t>
      </w:r>
      <w:r>
        <w:t xml:space="preserve"> </w:t>
      </w:r>
      <w:r>
        <w:t xml:space="preserve">32% increase in digital banking adoption (e.g., mobile app usage) among Birmingham residents, facilitated by personalized onboarding sessions conducted by Bankers in community hubs like the Birmingham Library network.</w:t>
      </w:r>
    </w:p>
    <w:bookmarkEnd w:id="22"/>
    <w:bookmarkStart w:id="23" w:name="X63fad45a8349d39357390189cb9080a311a0976"/>
    <w:p>
      <w:pPr>
        <w:pStyle w:val="Heading2"/>
      </w:pPr>
      <w:r>
        <w:t xml:space="preserve">Success Stories: The Banker's Impact in Birmingham</w:t>
      </w:r>
    </w:p>
    <w:p>
      <w:pPr>
        <w:pStyle w:val="FirstParagraph"/>
      </w:pPr>
      <w:r>
        <w:t xml:space="preserve">Our Sales Report would be incomplete without highlighting specific transactions showcasing how a dedicated Banker delivers results in United Kingdom Birmingham. One standout example involved a Midlands-based automotive parts supplier (based in Erdington). Facing supply chain disruption, the assigned Banker conducted an on-site assessment at their facility, identified cash flow challenges, and swiftly structured a bespoke £1.2m working capital facility leveraging the Birmingham Business Growth Fund initiative. This not only secured the client’s continued operations but also led to cross-sell opportunities in trade finance – a direct outcome of deep local market knowledge.</w:t>
      </w:r>
    </w:p>
    <w:p>
      <w:pPr>
        <w:pStyle w:val="BodyText"/>
      </w:pPr>
      <w:r>
        <w:t xml:space="preserve">Another critical win involved our Banker team collaborating with Birmingham City Council on a "Local Enterprise Network" initiative. By understanding the council's priorities for economic inclusion, our Bankers co-designed a targeted loan scheme for women-owned businesses in inner-city areas like Aston and Ladywood. This initiative generated £3.8m in new SME lending within three months, reinforcing our reputation as a community-focused institution – a cornerstone of effective sales in Birmingham.</w:t>
      </w:r>
    </w:p>
    <w:bookmarkEnd w:id="23"/>
    <w:bookmarkStart w:id="24" w:name="challenges-banker-led-solutions"/>
    <w:p>
      <w:pPr>
        <w:pStyle w:val="Heading2"/>
      </w:pPr>
      <w:r>
        <w:t xml:space="preserve">Challenges &amp; Banker-Led Solutions</w:t>
      </w:r>
    </w:p>
    <w:p>
      <w:pPr>
        <w:pStyle w:val="FirstParagraph"/>
      </w:pPr>
      <w:r>
        <w:t xml:space="preserve">Birmingham’s dynamic market presents specific challenges for Sales Report analysis. Economic volatility, particularly impacting retail and hospitality sectors post-pandemic, required agile responses. Our Bankers addressed this by:</w:t>
      </w:r>
    </w:p>
    <w:p>
      <w:pPr>
        <w:numPr>
          <w:ilvl w:val="0"/>
          <w:numId w:val="1002"/>
        </w:numPr>
        <w:pStyle w:val="Compact"/>
      </w:pPr>
      <w:r>
        <w:rPr>
          <w:bCs/>
          <w:b/>
        </w:rPr>
        <w:t xml:space="preserve">Implementing "Birmingham Economic Pulse" briefings:</w:t>
      </w:r>
      <w:r>
        <w:t xml:space="preserve"> </w:t>
      </w:r>
      <w:r>
        <w:t xml:space="preserve">Weekly updates on local industry trends (e.g., retail closures at Centenary Square vs. new openings at The Birmingham Centre) distributed to all Bankers for real-time sales adjustments.</w:t>
      </w:r>
    </w:p>
    <w:p>
      <w:pPr>
        <w:numPr>
          <w:ilvl w:val="0"/>
          <w:numId w:val="1002"/>
        </w:numPr>
        <w:pStyle w:val="Compact"/>
      </w:pPr>
      <w:r>
        <w:rPr>
          <w:bCs/>
          <w:b/>
        </w:rPr>
        <w:t xml:space="preserve">Developing hyper-localised product bundles:</w:t>
      </w:r>
      <w:r>
        <w:t xml:space="preserve"> </w:t>
      </w:r>
      <w:r>
        <w:t xml:space="preserve">For example, "Birmingham Retail Recovery Package" offering waived fees and flexible repayment terms for high-street businesses, directly addressing a key pain point identified through our Banker's customer feedback loops.</w:t>
      </w:r>
    </w:p>
    <w:p>
      <w:pPr>
        <w:pStyle w:val="FirstParagraph"/>
      </w:pPr>
      <w:r>
        <w:t xml:space="preserve">These solutions were not just tactical; they demonstrated how our Bankers transformed market challenges into sales opportunities, proving the value of local expertise over generic national strategies.</w:t>
      </w:r>
    </w:p>
    <w:bookmarkEnd w:id="24"/>
    <w:bookmarkStart w:id="25" w:name="X5c06fab5e81d616e48d329874477ab12e9626a0"/>
    <w:p>
      <w:pPr>
        <w:pStyle w:val="Heading2"/>
      </w:pPr>
      <w:r>
        <w:t xml:space="preserve">Strategic Outlook: Future Sales Imperatives for Birmingham</w:t>
      </w:r>
    </w:p>
    <w:p>
      <w:pPr>
        <w:pStyle w:val="FirstParagraph"/>
      </w:pPr>
      <w:r>
        <w:t xml:space="preserve">The next phase of our Sales Report strategy prioritises deepening relationships within Birmingham’s evolving economy. Key actions include:</w:t>
      </w:r>
    </w:p>
    <w:p>
      <w:pPr>
        <w:numPr>
          <w:ilvl w:val="0"/>
          <w:numId w:val="1003"/>
        </w:numPr>
        <w:pStyle w:val="Compact"/>
      </w:pPr>
      <w:r>
        <w:rPr>
          <w:bCs/>
          <w:b/>
        </w:rPr>
        <w:t xml:space="preserve">Expanding Community Engagement:</w:t>
      </w:r>
      <w:r>
        <w:t xml:space="preserve"> </w:t>
      </w:r>
      <w:r>
        <w:t xml:space="preserve">Partnering with institutions like the University of Birmingham and Aston Business School to host "Financial Health Clinics" across the city, where Bankers provide free advisory sessions – turning leads into long-term relationships.</w:t>
      </w:r>
    </w:p>
    <w:p>
      <w:pPr>
        <w:numPr>
          <w:ilvl w:val="0"/>
          <w:numId w:val="1003"/>
        </w:numPr>
        <w:pStyle w:val="Compact"/>
      </w:pPr>
      <w:r>
        <w:rPr>
          <w:bCs/>
          <w:b/>
        </w:rPr>
        <w:t xml:space="preserve">Leveraging Data for Personalised Sales:</w:t>
      </w:r>
      <w:r>
        <w:t xml:space="preserve"> </w:t>
      </w:r>
      <w:r>
        <w:t xml:space="preserve">Using Birmingham-specific demographic data (e.g., rising population in Moseley, growth in tech startups around Digbeth) to target high-potential segments with precision.</w:t>
      </w:r>
    </w:p>
    <w:p>
      <w:pPr>
        <w:numPr>
          <w:ilvl w:val="0"/>
          <w:numId w:val="1003"/>
        </w:numPr>
        <w:pStyle w:val="Compact"/>
      </w:pPr>
      <w:r>
        <w:rPr>
          <w:bCs/>
          <w:b/>
        </w:rPr>
        <w:t xml:space="preserve">Enhancing Digital Sales Channels:</w:t>
      </w:r>
      <w:r>
        <w:t xml:space="preserve"> </w:t>
      </w:r>
      <w:r>
        <w:t xml:space="preserve">Developing Birmingham-specific digital tools (e.g., an app feature showing local business grant opportunities), ensuring our Bankers can offer seamless omnichannel experiences.</w:t>
      </w:r>
    </w:p>
    <w:bookmarkEnd w:id="25"/>
    <w:bookmarkStart w:id="26" w:name="conclusion"/>
    <w:p>
      <w:pPr>
        <w:pStyle w:val="Heading2"/>
      </w:pPr>
      <w:r>
        <w:t xml:space="preserve">Conclusion</w:t>
      </w:r>
    </w:p>
    <w:p>
      <w:pPr>
        <w:pStyle w:val="FirstParagraph"/>
      </w:pPr>
      <w:r>
        <w:t xml:space="preserve">This Sales Report unequivocally demonstrates that in the United Kingdom Birmingham market, success is defined by the strategic deployment of a highly knowledgeable Banker. Our results – driven by local insight, relationship depth, and agile sales execution – are setting new benchmarks. As we move into Q4 2023, our commitment remains steadfast: to empower every Banker with the tools and market understanding necessary to drive sustainable growth within Birmingham’s vibrant economy. The data is clear: when Bankers understand Birmingham deeply, sales results follow. This Sales Report isn't just a record; it's a roadmap for continued leadership in the UK's most dynamic city market.</w:t>
      </w:r>
    </w:p>
    <w:p>
      <w:pPr>
        <w:pStyle w:val="BodyText"/>
      </w:pPr>
      <w:r>
        <w:rPr>
          <w:bCs/>
          <w:b/>
        </w:rPr>
        <w:t xml:space="preserve">Prepared by:</w:t>
      </w:r>
      <w:r>
        <w:t xml:space="preserve"> </w:t>
      </w:r>
      <w:r>
        <w:t xml:space="preserve">[Banker Name/Title]</w:t>
      </w:r>
      <w:r>
        <w:br/>
      </w:r>
      <w:r>
        <w:rPr>
          <w:bCs/>
          <w:b/>
        </w:rPr>
        <w:t xml:space="preserve">Verified by:</w:t>
      </w:r>
      <w:r>
        <w:t xml:space="preserve"> </w:t>
      </w:r>
      <w:r>
        <w:t xml:space="preserve">Regional Sales Director, West Midlands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Birmingham Banking Performance</dc:title>
  <dc:creator/>
  <dc:language>en</dc:language>
  <cp:keywords/>
  <dcterms:created xsi:type="dcterms:W3CDTF">2026-07-24T00:06:25Z</dcterms:created>
  <dcterms:modified xsi:type="dcterms:W3CDTF">2026-07-24T00:06:25Z</dcterms:modified>
</cp:coreProperties>
</file>

<file path=docProps/custom.xml><?xml version="1.0" encoding="utf-8"?>
<Properties xmlns="http://schemas.openxmlformats.org/officeDocument/2006/custom-properties" xmlns:vt="http://schemas.openxmlformats.org/officeDocument/2006/docPropsVTypes"/>
</file>