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London</w:t>
      </w:r>
      <w:r>
        <w:t xml:space="preserve"> </w:t>
      </w:r>
      <w:r>
        <w:t xml:space="preserve">Banking</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United</w:t>
      </w:r>
      <w:r>
        <w:t xml:space="preserve"> </w:t>
      </w:r>
      <w:r>
        <w:t xml:space="preserve">Kingdom</w:t>
      </w:r>
    </w:p>
    <w:bookmarkStart w:id="27" w:name="X49e660a530232c6b894ba5384da375f40050489"/>
    <w:p>
      <w:pPr>
        <w:pStyle w:val="Heading1"/>
      </w:pPr>
      <w:r>
        <w:t xml:space="preserve">Comprehensive Sales Performance Report: Premier Banking Solutions for United Kingdom London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UK Banking Division</w:t>
      </w:r>
      <w:r>
        <w:br/>
      </w:r>
      <w:r>
        <w:rPr>
          <w:bCs/>
          <w:b/>
        </w:rPr>
        <w:t xml:space="preserve">Purpose:</w:t>
      </w:r>
      <w:r>
        <w:t xml:space="preserve"> </w:t>
      </w:r>
      <w:r>
        <w:t xml:space="preserve">Strategic Sales Analysis &amp; Future Planning for Banker Operations in United Kingdom London</w:t>
      </w:r>
    </w:p>
    <w:bookmarkStart w:id="20" w:name="i.-executive-summary"/>
    <w:p>
      <w:pPr>
        <w:pStyle w:val="Heading2"/>
      </w:pPr>
      <w:r>
        <w:t xml:space="preserve">I. Executive Summary</w:t>
      </w:r>
    </w:p>
    <w:p>
      <w:pPr>
        <w:pStyle w:val="FirstParagraph"/>
      </w:pPr>
      <w:r>
        <w:t xml:space="preserve">This Sales Report presents a detailed analysis of the performance metrics achieved by our banking team across the United Kingdom London market during Q3 2023. As a leading financial institution operating within the dynamic ecosystem of London, our Banker teams have demonstrated exceptional resilience in navigating post-pandemic economic shifts while delivering robust growth. This document underscores how strategic sales initiatives directly contributed to exceeding quarterly targets by 14.7% in London's premium client segment, reinforcing our position as a preferred banking partner in the United Kingdom capital. The insights within this Sales Report are critical for optimizing our Banker engagement framework and sustaining momentum in the fiercely competitive London financial landscape.</w:t>
      </w:r>
    </w:p>
    <w:bookmarkEnd w:id="20"/>
    <w:bookmarkStart w:id="21" w:name="X49169ba74fabb49abfc33d310365798f9c942d2"/>
    <w:p>
      <w:pPr>
        <w:pStyle w:val="Heading2"/>
      </w:pPr>
      <w:r>
        <w:t xml:space="preserve">II. Key Performance Indicators: London Market Focus</w:t>
      </w:r>
    </w:p>
    <w:p>
      <w:pPr>
        <w:pStyle w:val="FirstParagraph"/>
      </w:pPr>
      <w:r>
        <w:t xml:space="preserve">London remains the economic engine of the United Kingdom, accounting for 30% of national GDP. Our Sales Report reveals that our Banker teams capitalized on this significance through targeted solutions:</w:t>
      </w:r>
    </w:p>
    <w:p>
      <w:pPr>
        <w:numPr>
          <w:ilvl w:val="0"/>
          <w:numId w:val="1001"/>
        </w:numPr>
        <w:pStyle w:val="Compact"/>
      </w:pPr>
      <w:r>
        <w:rPr>
          <w:bCs/>
          <w:b/>
        </w:rPr>
        <w:t xml:space="preserve">Client Acquisition Growth:</w:t>
      </w:r>
      <w:r>
        <w:t xml:space="preserve"> </w:t>
      </w:r>
      <w:r>
        <w:t xml:space="preserve">+28% YoY in new high-net-worth relationships (HNWIs) across London, surpassing the UK market average of 18%</w:t>
      </w:r>
    </w:p>
    <w:p>
      <w:pPr>
        <w:numPr>
          <w:ilvl w:val="0"/>
          <w:numId w:val="1001"/>
        </w:numPr>
        <w:pStyle w:val="Compact"/>
      </w:pPr>
      <w:r>
        <w:rPr>
          <w:bCs/>
          <w:b/>
        </w:rPr>
        <w:t xml:space="preserve">Product Penetration Rate:</w:t>
      </w:r>
      <w:r>
        <w:t xml:space="preserve"> </w:t>
      </w:r>
      <w:r>
        <w:t xml:space="preserve">42% growth in cross-selling commercial banking services (trade finance, treasury solutions) to existing corporate clients</w:t>
      </w:r>
    </w:p>
    <w:p>
      <w:pPr>
        <w:numPr>
          <w:ilvl w:val="0"/>
          <w:numId w:val="1001"/>
        </w:numPr>
        <w:pStyle w:val="Compact"/>
      </w:pPr>
      <w:r>
        <w:rPr>
          <w:bCs/>
          <w:b/>
        </w:rPr>
        <w:t xml:space="preserve">Sales Conversion Rate:</w:t>
      </w:r>
      <w:r>
        <w:t xml:space="preserve"> </w:t>
      </w:r>
      <w:r>
        <w:t xml:space="preserve">37.5% for London-based Banker proposals – 12 points above national average due to hyper-localized client engagement</w:t>
      </w:r>
    </w:p>
    <w:p>
      <w:pPr>
        <w:numPr>
          <w:ilvl w:val="0"/>
          <w:numId w:val="1001"/>
        </w:numPr>
        <w:pStyle w:val="Compact"/>
      </w:pPr>
      <w:r>
        <w:rPr>
          <w:bCs/>
          <w:b/>
        </w:rPr>
        <w:t xml:space="preserve">Revenue Contribution:</w:t>
      </w:r>
      <w:r>
        <w:t xml:space="preserve"> </w:t>
      </w:r>
      <w:r>
        <w:t xml:space="preserve">London generated £187M in new business revenue (Q3), representing 63% of total UK banking division performance</w:t>
      </w:r>
    </w:p>
    <w:p>
      <w:pPr>
        <w:pStyle w:val="FirstParagraph"/>
      </w:pPr>
      <w:r>
        <w:t xml:space="preserve">Crucially, these results demonstrate how our Banker approach—rooted in deep understanding of United Kingdom London's unique market rhythms—drives superior outcomes. The city's concentration of global institutions (50% of FTSE 100 HQs) and regulatory sophistication necessitates specialized sales expertise that our London-based Banker teams consistently deliver.</w:t>
      </w:r>
    </w:p>
    <w:bookmarkEnd w:id="21"/>
    <w:bookmarkStart w:id="22" w:name="Xd80af8337095c3e45e0be9c32e385a986b262ba"/>
    <w:p>
      <w:pPr>
        <w:pStyle w:val="Heading2"/>
      </w:pPr>
      <w:r>
        <w:t xml:space="preserve">III. Regional Sales Analysis: London-Driven Performance</w:t>
      </w:r>
    </w:p>
    <w:p>
      <w:pPr>
        <w:pStyle w:val="FirstParagraph"/>
      </w:pPr>
      <w:r>
        <w:t xml:space="preserve">Our Sales Report highlights a strategic shift toward sector-specific solutions that resonate with London's economic fingerprint:</w:t>
      </w:r>
    </w:p>
    <w:p>
      <w:pPr>
        <w:pStyle w:val="BodyText"/>
      </w:pPr>
      <w:r>
        <w:t xml:space="preserve">Sector</w:t>
      </w:r>
    </w:p>
    <w:p>
      <w:pPr>
        <w:pStyle w:val="BodyText"/>
      </w:pPr>
      <w:r>
        <w:t xml:space="preserve">Q3 Growth vs. Q2</w:t>
      </w:r>
    </w:p>
    <w:p>
      <w:pPr>
        <w:pStyle w:val="BodyText"/>
      </w:pPr>
      <w:r>
        <w:t xml:space="preserve">Key Driver</w:t>
      </w:r>
    </w:p>
    <w:p>
      <w:pPr>
        <w:pStyle w:val="BodyText"/>
      </w:pPr>
      <w:r>
        <w:t xml:space="preserve">Banker Initiative Impact</w:t>
      </w:r>
    </w:p>
    <w:p>
      <w:pPr>
        <w:pStyle w:val="BodyText"/>
      </w:pPr>
      <w:r>
        <w:t xml:space="preserve">Tech &amp; FinTech Startups (Shoreditch, Canary Wharf)</w:t>
      </w:r>
    </w:p>
    <w:p>
      <w:pPr>
        <w:pStyle w:val="BodyText"/>
      </w:pPr>
      <w:r>
        <w:t xml:space="preserve">+41%</w:t>
      </w:r>
    </w:p>
    <w:p>
      <w:pPr>
        <w:pStyle w:val="BodyText"/>
      </w:pPr>
      <w:r>
        <w:t xml:space="preserve">Rise in Series B funding rounds</w:t>
      </w:r>
    </w:p>
    <w:p>
      <w:pPr>
        <w:pStyle w:val="BodyText"/>
      </w:pPr>
      <w:r>
        <w:t xml:space="preserve">Custom liquidity solutions co-designed by London Banker teams</w:t>
      </w:r>
    </w:p>
    <w:p>
      <w:pPr>
        <w:pStyle w:val="BodyText"/>
      </w:pPr>
      <w:r>
        <w:t xml:space="preserve">Asset Management Firms (City of London)</w:t>
      </w:r>
    </w:p>
    <w:p>
      <w:pPr>
        <w:pStyle w:val="BodyText"/>
      </w:pPr>
      <w:r>
        <w:t xml:space="preserve">+33%</w:t>
      </w:r>
    </w:p>
    <w:p>
      <w:pPr>
        <w:pStyle w:val="BodyText"/>
      </w:pPr>
      <w:r>
        <w:rPr>
          <w:bCs/>
          <w:b/>
        </w:rPr>
        <w:t xml:space="preserve">ESG regulatory pressure</w:t>
      </w:r>
    </w:p>
    <w:p>
      <w:pPr>
        <w:pStyle w:val="BodyText"/>
      </w:pPr>
      <w:r>
        <w:t xml:space="preserve">London-specific sustainable finance products developed by Banker team</w:t>
      </w:r>
    </w:p>
    <w:p>
      <w:pPr>
        <w:pStyle w:val="BodyText"/>
      </w:pPr>
      <w:r>
        <w:t xml:space="preserve">Notably, the Banker's ability to leverage London's status as Europe's largest financial hub enabled rapid deployment of solutions. For example, our "Canary Wharf Capital Accelerator" program—launched by the London-based Sales Team—secured 22 new institutional clients in Q3. This underscores how location-specific knowledge is non-negotiable for a Banker operating effectively in United Kingdom London.</w:t>
      </w:r>
    </w:p>
    <w:bookmarkEnd w:id="22"/>
    <w:bookmarkStart w:id="23" w:name="Xd48db3426b8cb61953fe5b3836eab38a456153d"/>
    <w:p>
      <w:pPr>
        <w:pStyle w:val="Heading2"/>
      </w:pPr>
      <w:r>
        <w:t xml:space="preserve">IV. Customer Insights: Beyond Transactional Relationships</w:t>
      </w:r>
    </w:p>
    <w:p>
      <w:pPr>
        <w:pStyle w:val="FirstParagraph"/>
      </w:pPr>
      <w:r>
        <w:t xml:space="preserve">Analysis of 1,800 London client interactions reveals that our Banker teams outperform competitors by focusing on strategic partnership development:</w:t>
      </w:r>
    </w:p>
    <w:p>
      <w:pPr>
        <w:numPr>
          <w:ilvl w:val="0"/>
          <w:numId w:val="1002"/>
        </w:numPr>
        <w:pStyle w:val="Compact"/>
      </w:pPr>
      <w:r>
        <w:rPr>
          <w:bCs/>
          <w:b/>
        </w:rPr>
        <w:t xml:space="preserve">Cross-Sector Synergy:</w:t>
      </w:r>
      <w:r>
        <w:t xml:space="preserve"> </w:t>
      </w:r>
      <w:r>
        <w:t xml:space="preserve">67% of new London clients (vs. industry average 42%) engaged with multiple banking services after initial contact</w:t>
      </w:r>
    </w:p>
    <w:p>
      <w:pPr>
        <w:numPr>
          <w:ilvl w:val="0"/>
          <w:numId w:val="1002"/>
        </w:numPr>
        <w:pStyle w:val="Compact"/>
      </w:pPr>
      <w:r>
        <w:rPr>
          <w:bCs/>
          <w:b/>
        </w:rPr>
        <w:t xml:space="preserve">Trust Indicators:</w:t>
      </w:r>
      <w:r>
        <w:t xml:space="preserve"> </w:t>
      </w:r>
      <w:r>
        <w:t xml:space="preserve">London clients rated our Banker's industry knowledge 3.8/5 (compared to competitor average 2.9)</w:t>
      </w:r>
    </w:p>
    <w:p>
      <w:pPr>
        <w:numPr>
          <w:ilvl w:val="0"/>
          <w:numId w:val="1002"/>
        </w:numPr>
        <w:pStyle w:val="Compact"/>
      </w:pPr>
      <w:r>
        <w:rPr>
          <w:bCs/>
          <w:b/>
        </w:rPr>
        <w:t xml:space="preserve">Retention Rate:</w:t>
      </w:r>
      <w:r>
        <w:t xml:space="preserve"> </w:t>
      </w:r>
      <w:r>
        <w:t xml:space="preserve">94% for London HNWIs – significantly above UK market benchmark of 85%</w:t>
      </w:r>
    </w:p>
    <w:p>
      <w:pPr>
        <w:pStyle w:val="FirstParagraph"/>
      </w:pPr>
      <w:r>
        <w:t xml:space="preserve">A critical insight: In United Kingdom London, clients prioritize banking partners who understand sector-specific challenges. Our Banker teams achieved this through mandatory immersion in local economic trends (e.g., understanding post-Brexit trade corridors), directly reflected in the Sales Report's client satisfaction scores.</w:t>
      </w:r>
    </w:p>
    <w:bookmarkEnd w:id="23"/>
    <w:bookmarkStart w:id="24" w:name="v.-challenges-strategic-response"/>
    <w:p>
      <w:pPr>
        <w:pStyle w:val="Heading2"/>
      </w:pPr>
      <w:r>
        <w:t xml:space="preserve">V. Challenges &amp; Strategic Response</w:t>
      </w:r>
    </w:p>
    <w:p>
      <w:pPr>
        <w:pStyle w:val="FirstParagraph"/>
      </w:pPr>
      <w:r>
        <w:t xml:space="preserve">Despite strong performance, our London market analysis identified critical challenges requiring immediate Banker-level intervention:</w:t>
      </w:r>
    </w:p>
    <w:p>
      <w:pPr>
        <w:numPr>
          <w:ilvl w:val="0"/>
          <w:numId w:val="1003"/>
        </w:numPr>
        <w:pStyle w:val="Compact"/>
      </w:pPr>
      <w:r>
        <w:rPr>
          <w:bCs/>
          <w:b/>
        </w:rPr>
        <w:t xml:space="preserve">Regulatory Complexity:</w:t>
      </w:r>
      <w:r>
        <w:t xml:space="preserve"> </w:t>
      </w:r>
      <w:r>
        <w:t xml:space="preserve">47% of London corporate clients cited evolving UK financial regulations as a barrier. Our Banker teams responded by launching "RegTech Navigator" – a digital tool co-created with FCA experts, reducing compliance queries by 63%.</w:t>
      </w:r>
    </w:p>
    <w:p>
      <w:pPr>
        <w:numPr>
          <w:ilvl w:val="0"/>
          <w:numId w:val="1003"/>
        </w:numPr>
        <w:pStyle w:val="Compact"/>
      </w:pPr>
      <w:r>
        <w:rPr>
          <w:bCs/>
          <w:b/>
        </w:rPr>
        <w:t xml:space="preserve">Competitive Pressure:</w:t>
      </w:r>
      <w:r>
        <w:t xml:space="preserve"> </w:t>
      </w:r>
      <w:r>
        <w:t xml:space="preserve">Rival institutions aggressively targeting London's Asian and Middle Eastern investor base. Counter-strategy: London-based Banker teams developed bespoke Sharia-compliant portfolios (29 new clients secured Q3).</w:t>
      </w:r>
    </w:p>
    <w:p>
      <w:pPr>
        <w:numPr>
          <w:ilvl w:val="0"/>
          <w:numId w:val="1003"/>
        </w:numPr>
        <w:pStyle w:val="Compact"/>
      </w:pPr>
      <w:r>
        <w:rPr>
          <w:bCs/>
          <w:b/>
        </w:rPr>
        <w:t xml:space="preserve">Talent Retention:</w:t>
      </w:r>
      <w:r>
        <w:t xml:space="preserve"> </w:t>
      </w:r>
      <w:r>
        <w:t xml:space="preserve">High attrition among junior Bankers due to London cost-of-living pressures. Solution: Implemented "London Resilience Bonus" tied to client retention metrics, reducing turnover by 31%.</w:t>
      </w:r>
    </w:p>
    <w:bookmarkEnd w:id="24"/>
    <w:bookmarkStart w:id="25" w:name="Xded2996a05b0fb4ca4911a359226bd053a39d58"/>
    <w:p>
      <w:pPr>
        <w:pStyle w:val="Heading2"/>
      </w:pPr>
      <w:r>
        <w:t xml:space="preserve">VI. Recommendations for Continued Success in United Kingdom London</w:t>
      </w:r>
    </w:p>
    <w:p>
      <w:pPr>
        <w:pStyle w:val="FirstParagraph"/>
      </w:pPr>
      <w:r>
        <w:t xml:space="preserve">This Sales Report concludes with actionable strategies for sustaining growth:</w:t>
      </w:r>
    </w:p>
    <w:p>
      <w:pPr>
        <w:numPr>
          <w:ilvl w:val="0"/>
          <w:numId w:val="1004"/>
        </w:numPr>
        <w:pStyle w:val="Compact"/>
      </w:pPr>
      <w:r>
        <w:rPr>
          <w:bCs/>
          <w:b/>
        </w:rPr>
        <w:t xml:space="preserve">Hyper-Localize Sales Enablement:</w:t>
      </w:r>
      <w:r>
        <w:t xml:space="preserve"> </w:t>
      </w:r>
      <w:r>
        <w:t xml:space="preserve">Develop London-specific sales playbooks covering City of London regulatory nuances and sector hotspots (e.g., MedTech in Greenwich, Fintech in Old Street).</w:t>
      </w:r>
    </w:p>
    <w:p>
      <w:pPr>
        <w:numPr>
          <w:ilvl w:val="0"/>
          <w:numId w:val="1004"/>
        </w:numPr>
        <w:pStyle w:val="Compact"/>
      </w:pPr>
      <w:r>
        <w:rPr>
          <w:bCs/>
          <w:b/>
        </w:rPr>
        <w:t xml:space="preserve">Expand Banker "Ecosystem" Network:</w:t>
      </w:r>
      <w:r>
        <w:t xml:space="preserve"> </w:t>
      </w:r>
      <w:r>
        <w:t xml:space="preserve">Partner with key London institutions (LSE, City &amp; Guilds) for co-branded client workshops to position our Banker teams as thought leaders.</w:t>
      </w:r>
    </w:p>
    <w:p>
      <w:pPr>
        <w:numPr>
          <w:ilvl w:val="0"/>
          <w:numId w:val="1004"/>
        </w:numPr>
        <w:pStyle w:val="Compact"/>
      </w:pPr>
      <w:r>
        <w:rPr>
          <w:bCs/>
          <w:b/>
        </w:rPr>
        <w:t xml:space="preserve">Invest in London Data Intelligence:</w:t>
      </w:r>
      <w:r>
        <w:t xml:space="preserve"> </w:t>
      </w:r>
      <w:r>
        <w:t xml:space="preserve">Deploy AI-driven market sentiment analysis focused exclusively on United Kingdom London's economic pulse points (e.g., property market shifts, trade volumes).</w:t>
      </w:r>
    </w:p>
    <w:bookmarkEnd w:id="25"/>
    <w:bookmarkStart w:id="26" w:name="vii.-conclusion-the-london-advantage"/>
    <w:p>
      <w:pPr>
        <w:pStyle w:val="Heading2"/>
      </w:pPr>
      <w:r>
        <w:t xml:space="preserve">VII. Conclusion: The London Advantage</w:t>
      </w:r>
    </w:p>
    <w:p>
      <w:pPr>
        <w:pStyle w:val="FirstParagraph"/>
      </w:pPr>
      <w:r>
        <w:t xml:space="preserve">This Sales Report unequivocally demonstrates that success in the United Kingdom London banking market hinges on specialized sales execution by a Banker who operates as an embedded part of the city's financial ecosystem. Our Q3 results – exceeding targets through sector-specific solutions, regulatory agility, and hyper-local client engagement – prove that London isn't just another market; it's our most valuable growth engine. As we move into 2024, the strategic focus must remain on deepening our Banker teams' mastery of United Kingdom London's unique dynamics. By embedding ourselves within the city's economic heartbeat, we don't just deliver banking services – we become indispensable partners in London's financial evolution. The metrics confirm: when a Banker understands London at this level, sustainable growth is not an outcome – it's the baseline expectation.</w:t>
      </w:r>
    </w:p>
    <w:p>
      <w:pPr>
        <w:pStyle w:val="BodyText"/>
      </w:pPr>
      <w:r>
        <w:rPr>
          <w:bCs/>
          <w:b/>
        </w:rPr>
        <w:t xml:space="preserve">Prepared By:</w:t>
      </w:r>
      <w:r>
        <w:t xml:space="preserve"> </w:t>
      </w:r>
      <w:r>
        <w:t xml:space="preserve">Global Sales Strategy Division</w:t>
      </w:r>
      <w:r>
        <w:br/>
      </w:r>
      <w:r>
        <w:rPr>
          <w:bCs/>
          <w:b/>
        </w:rPr>
        <w:t xml:space="preserve">Confidentiality:</w:t>
      </w:r>
      <w:r>
        <w:t xml:space="preserve"> </w:t>
      </w:r>
      <w:r>
        <w:t xml:space="preserve">This Sales Report contains proprietary data for internal UK banking division use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London Banking Sales Performance Report | United Kingdom</dc:title>
  <dc:creator/>
  <dc:language>en</dc:language>
  <cp:keywords/>
  <dcterms:created xsi:type="dcterms:W3CDTF">2026-07-24T16:20:10Z</dcterms:created>
  <dcterms:modified xsi:type="dcterms:W3CDTF">2026-07-24T16:20:10Z</dcterms:modified>
</cp:coreProperties>
</file>

<file path=docProps/custom.xml><?xml version="1.0" encoding="utf-8"?>
<Properties xmlns="http://schemas.openxmlformats.org/officeDocument/2006/custom-properties" xmlns:vt="http://schemas.openxmlformats.org/officeDocument/2006/docPropsVTypes"/>
</file>