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Performance</w:t>
      </w:r>
      <w:r>
        <w:t xml:space="preserve"> </w:t>
      </w:r>
      <w:r>
        <w:t xml:space="preserve">Report:</w:t>
      </w:r>
      <w:r>
        <w:t xml:space="preserve"> </w:t>
      </w:r>
      <w:r>
        <w:t xml:space="preserve">Banking</w:t>
      </w:r>
      <w:r>
        <w:t xml:space="preserve"> </w:t>
      </w:r>
      <w:r>
        <w:t xml:space="preserve">Division</w:t>
      </w:r>
    </w:p>
    <w:bookmarkStart w:id="27" w:name="X77d713b85f3b6c0ec885ce60aec4e786c93ec42"/>
    <w:p>
      <w:pPr>
        <w:pStyle w:val="Heading1"/>
      </w:pPr>
      <w:r>
        <w:t xml:space="preserve">2024 Q3 Sales Performance Report: Chicago Banking Division - United States Market Analysis</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Chicago Regional Leadership |</w:t>
      </w:r>
      <w:r>
        <w:t xml:space="preserve"> </w:t>
      </w:r>
      <w:r>
        <w:rPr>
          <w:bCs/>
          <w:b/>
        </w:rPr>
        <w:t xml:space="preserve">Report Period:</w:t>
      </w:r>
      <w:r>
        <w:t xml:space="preserve"> </w:t>
      </w:r>
      <w:r>
        <w:t xml:space="preserve">July 1 - September 30, 2024</w:t>
      </w:r>
    </w:p>
    <w:bookmarkStart w:id="20" w:name="Xb319c3efaebff6d4d21fd657a32dba738f8a3fc"/>
    <w:p>
      <w:pPr>
        <w:pStyle w:val="Heading2"/>
      </w:pPr>
      <w:r>
        <w:t xml:space="preserve">I. Executive Summary: Strategic Sales Momentum in Chicago</w:t>
      </w:r>
    </w:p>
    <w:p>
      <w:pPr>
        <w:pStyle w:val="FirstParagraph"/>
      </w:pPr>
      <w:r>
        <w:t xml:space="preserve">The Chicago Banking Division achieved significant growth during the third quarter of 2024, demonstrating robust performance within the United States financial landscape. This quarterly Sales Report highlights how our dedicated Banker team capitalized on regional economic opportunities while navigating competitive pressures unique to the Chicago market. Total new client acquisitions surged by 18% YoY, with commercial lending activity driving 65% of revenue growth – a direct reflection of strategic alignment between the Banker’s sales approach and Chicago’s evolving economic priorities. The success underscores the critical importance of localized banking expertise in delivering results across United States markets.</w:t>
      </w:r>
    </w:p>
    <w:bookmarkEnd w:id="20"/>
    <w:bookmarkStart w:id="21" w:name="Xba9127b80bb5700c06cffd1efbbfd4ce35b4ea5"/>
    <w:p>
      <w:pPr>
        <w:pStyle w:val="Heading2"/>
      </w:pPr>
      <w:r>
        <w:t xml:space="preserve">II. Key Sales Metrics: Chicago Market Focus</w:t>
      </w:r>
    </w:p>
    <w:p>
      <w:pPr>
        <w:pStyle w:val="FirstParagraph"/>
      </w:pPr>
      <w:r>
        <w:t xml:space="preserve">Performance Indicator</w:t>
      </w:r>
    </w:p>
    <w:p>
      <w:pPr>
        <w:pStyle w:val="BodyText"/>
      </w:pPr>
      <w:r>
        <w:t xml:space="preserve">Q3 2024 (Chicago)</w:t>
      </w:r>
    </w:p>
    <w:p>
      <w:pPr>
        <w:pStyle w:val="BodyText"/>
      </w:pPr>
      <w:r>
        <w:t xml:space="preserve">Q3 2023 (Chicago)</w:t>
      </w:r>
    </w:p>
    <w:p>
      <w:pPr>
        <w:pStyle w:val="BodyText"/>
      </w:pPr>
      <w:r>
        <w:t xml:space="preserve">% Change</w:t>
      </w:r>
    </w:p>
    <w:p>
      <w:pPr>
        <w:pStyle w:val="BodyText"/>
      </w:pPr>
      <w:r>
        <w:t xml:space="preserve">New Commercial Loans Originated</w:t>
      </w:r>
    </w:p>
    <w:p>
      <w:pPr>
        <w:pStyle w:val="BodyText"/>
      </w:pPr>
      <w:r>
        <w:t xml:space="preserve">$18.7M</w:t>
      </w:r>
    </w:p>
    <w:p>
      <w:pPr>
        <w:pStyle w:val="BodyText"/>
      </w:pPr>
      <w:r>
        <w:t xml:space="preserve">$15.2M</w:t>
      </w:r>
    </w:p>
    <w:p>
      <w:pPr>
        <w:pStyle w:val="BodyText"/>
      </w:pPr>
      <w:r>
        <w:t xml:space="preserve">+23.0%</w:t>
      </w:r>
    </w:p>
    <w:p>
      <w:pPr>
        <w:pStyle w:val="BodyText"/>
      </w:pPr>
      <w:r>
        <w:t xml:space="preserve">High-Net-Worth Client Acquisition</w:t>
      </w:r>
    </w:p>
    <w:p>
      <w:pPr>
        <w:pStyle w:val="BodyText"/>
      </w:pPr>
      <w:r>
        <w:t xml:space="preserve">42 New Accounts</w:t>
      </w:r>
    </w:p>
    <w:p>
      <w:pPr>
        <w:pStyle w:val="BodyText"/>
      </w:pPr>
      <w:r>
        <w:t xml:space="preserve">35 New Accounts</w:t>
      </w:r>
    </w:p>
    <w:p>
      <w:pPr>
        <w:pStyle w:val="BodyText"/>
      </w:pPr>
      <w:r>
        <w:t xml:space="preserve">Note: All Chicago-based sales activity aligns with United States banking regulations (FDIC, CFPB) and regional market demands.</w:t>
      </w:r>
    </w:p>
    <w:p>
      <w:pPr>
        <w:pStyle w:val="BodyText"/>
      </w:pPr>
      <w:r>
        <w:t xml:space="preserve">The Chicago Sales Report confirms that our Banker team exceeded targets in the critical commercial lending segment, particularly within manufacturing (28% of new loans) and healthcare (19%) – sectors central to the Chicago economy. This growth was fueled by personalized sales strategies developed by Bankers who deeply understand local business challenges, such as supply chain optimization in the Midwest logistics hub or navigating Illinois state tax incentives for expansion.</w:t>
      </w:r>
    </w:p>
    <w:bookmarkEnd w:id="21"/>
    <w:bookmarkStart w:id="22" w:name="Xe09974e6d6192bf9076f28e3ca979e57e39739a"/>
    <w:p>
      <w:pPr>
        <w:pStyle w:val="Heading2"/>
      </w:pPr>
      <w:r>
        <w:t xml:space="preserve">III. Market Analysis: Chicago's Economic Landscape</w:t>
      </w:r>
    </w:p>
    <w:p>
      <w:pPr>
        <w:pStyle w:val="FirstParagraph"/>
      </w:pPr>
      <w:r>
        <w:t xml:space="preserve">The United States banking sector continues to evolve, but Chicago presents distinct opportunities requiring nuanced sales approaches. As a top 3 financial center outside New York and San Francisco, the city’s diverse economy – anchored by global corporations (Boeing, Abbott Labs), vibrant small businesses (over 400K in Chicago), and a growing tech ecosystem – demands that every Banker tailors solutions. Our Sales Report reveals that Chicago clients prioritize:</w:t>
      </w:r>
    </w:p>
    <w:p>
      <w:pPr>
        <w:numPr>
          <w:ilvl w:val="0"/>
          <w:numId w:val="1001"/>
        </w:numPr>
        <w:pStyle w:val="Compact"/>
      </w:pPr>
      <w:r>
        <w:rPr>
          <w:bCs/>
          <w:b/>
        </w:rPr>
        <w:t xml:space="preserve">Localized Relationship Management:</w:t>
      </w:r>
      <w:r>
        <w:t xml:space="preserve"> </w:t>
      </w:r>
      <w:r>
        <w:t xml:space="preserve">78% of new commercial clients cited "understanding Chicago market dynamics" as critical to their decision.</w:t>
      </w:r>
    </w:p>
    <w:p>
      <w:pPr>
        <w:numPr>
          <w:ilvl w:val="0"/>
          <w:numId w:val="1001"/>
        </w:numPr>
        <w:pStyle w:val="Compact"/>
      </w:pPr>
      <w:r>
        <w:rPr>
          <w:bCs/>
          <w:b/>
        </w:rPr>
        <w:t xml:space="preserve">Regulatory Compliance Expertise:</w:t>
      </w:r>
      <w:r>
        <w:t xml:space="preserve"> </w:t>
      </w:r>
      <w:r>
        <w:t xml:space="preserve">Navigating Illinois-specific banking regulations (e.g., licensing for community development loans) was a key differentiator for Bankers during sales conversations.</w:t>
      </w:r>
    </w:p>
    <w:p>
      <w:pPr>
        <w:numPr>
          <w:ilvl w:val="0"/>
          <w:numId w:val="1001"/>
        </w:numPr>
        <w:pStyle w:val="Compact"/>
      </w:pPr>
      <w:r>
        <w:rPr>
          <w:bCs/>
          <w:b/>
        </w:rPr>
        <w:t xml:space="preserve">Cash Flow Solutions:</w:t>
      </w:r>
      <w:r>
        <w:t xml:space="preserve"> </w:t>
      </w:r>
      <w:r>
        <w:t xml:space="preserve">62% of Chicago small businesses requested customized working capital programs, reflecting local economic volatility.</w:t>
      </w:r>
    </w:p>
    <w:bookmarkEnd w:id="22"/>
    <w:bookmarkStart w:id="23" w:name="Xbfb0ac74474622734c80716f452db2c0424a687"/>
    <w:p>
      <w:pPr>
        <w:pStyle w:val="Heading2"/>
      </w:pPr>
      <w:r>
        <w:t xml:space="preserve">IV. Competitive Landscape &amp; Strategic Positioning</w:t>
      </w:r>
    </w:p>
    <w:p>
      <w:pPr>
        <w:pStyle w:val="FirstParagraph"/>
      </w:pPr>
      <w:r>
        <w:t xml:space="preserve">The United States banking market in Chicago remains highly competitive with major national players (Chase, Wells Fargo) and strong regional institutions (First Midwest, Northern Trust). Our Sales Report demonstrates how Bankers differentiate through:</w:t>
      </w:r>
    </w:p>
    <w:p>
      <w:pPr>
        <w:numPr>
          <w:ilvl w:val="0"/>
          <w:numId w:val="1002"/>
        </w:numPr>
        <w:pStyle w:val="Compact"/>
      </w:pPr>
      <w:r>
        <w:rPr>
          <w:bCs/>
          <w:b/>
        </w:rPr>
        <w:t xml:space="preserve">Hyper-Local Market Intelligence:</w:t>
      </w:r>
      <w:r>
        <w:t xml:space="preserve"> </w:t>
      </w:r>
      <w:r>
        <w:t xml:space="preserve">Bankers leveraged data on Chicago-specific trends (e.g., rise of downtown office leasing activity post-pandemic) to position solutions.</w:t>
      </w:r>
    </w:p>
    <w:p>
      <w:pPr>
        <w:numPr>
          <w:ilvl w:val="0"/>
          <w:numId w:val="1002"/>
        </w:numPr>
        <w:pStyle w:val="Compact"/>
      </w:pPr>
      <w:r>
        <w:rPr>
          <w:bCs/>
          <w:b/>
        </w:rPr>
        <w:t xml:space="preserve">Community Engagement:</w:t>
      </w:r>
      <w:r>
        <w:t xml:space="preserve"> </w:t>
      </w:r>
      <w:r>
        <w:t xml:space="preserve">32% of new accounts resulted from Banker participation in Chicago events like the "Chicago Chamber Economic Summit" or local SCORE chapters.</w:t>
      </w:r>
    </w:p>
    <w:p>
      <w:pPr>
        <w:numPr>
          <w:ilvl w:val="0"/>
          <w:numId w:val="1002"/>
        </w:numPr>
        <w:pStyle w:val="Compact"/>
      </w:pPr>
      <w:r>
        <w:rPr>
          <w:bCs/>
          <w:b/>
        </w:rPr>
        <w:t xml:space="preserve">Data-Driven Sales Approach:</w:t>
      </w:r>
      <w:r>
        <w:t xml:space="preserve"> </w:t>
      </w:r>
      <w:r>
        <w:t xml:space="preserve">Real-time CRM insights enabled Bankers to target high-potential sectors (e.g., Midwest renewable energy infrastructure) with precision.</w:t>
      </w:r>
    </w:p>
    <w:bookmarkEnd w:id="23"/>
    <w:bookmarkStart w:id="24" w:name="v.-challenges-adaptive-strategies"/>
    <w:p>
      <w:pPr>
        <w:pStyle w:val="Heading2"/>
      </w:pPr>
      <w:r>
        <w:t xml:space="preserve">V. Challenges &amp; Adaptive Strategies</w:t>
      </w:r>
    </w:p>
    <w:p>
      <w:pPr>
        <w:pStyle w:val="FirstParagraph"/>
      </w:pPr>
      <w:r>
        <w:t xml:space="preserve">Chicago’s unique economic pressures presented challenges documented in this Sales Report. Rising commercial real estate vacancies (particularly in the Loop) initially slowed loan demand, but proactive Banker initiatives pivoted focus toward:</w:t>
      </w:r>
    </w:p>
    <w:p>
      <w:pPr>
        <w:numPr>
          <w:ilvl w:val="0"/>
          <w:numId w:val="1003"/>
        </w:numPr>
        <w:pStyle w:val="Compact"/>
      </w:pPr>
      <w:r>
        <w:rPr>
          <w:bCs/>
          <w:b/>
        </w:rPr>
        <w:t xml:space="preserve">Diversification:</w:t>
      </w:r>
      <w:r>
        <w:t xml:space="preserve"> </w:t>
      </w:r>
      <w:r>
        <w:t xml:space="preserve">Redirecting sales efforts toward Chicago’s thriving healthcare and logistics sectors.</w:t>
      </w:r>
    </w:p>
    <w:p>
      <w:pPr>
        <w:numPr>
          <w:ilvl w:val="0"/>
          <w:numId w:val="1003"/>
        </w:numPr>
        <w:pStyle w:val="Compact"/>
      </w:pPr>
      <w:r>
        <w:rPr>
          <w:bCs/>
          <w:b/>
        </w:rPr>
        <w:t xml:space="preserve">Technology Integration:</w:t>
      </w:r>
      <w:r>
        <w:t xml:space="preserve"> </w:t>
      </w:r>
      <w:r>
        <w:t xml:space="preserve">Implementing AI-powered client analytics tools (approved by Chicago regulatory teams) to identify cross-selling opportunities faster.</w:t>
      </w:r>
    </w:p>
    <w:p>
      <w:pPr>
        <w:numPr>
          <w:ilvl w:val="0"/>
          <w:numId w:val="1003"/>
        </w:numPr>
        <w:pStyle w:val="Compact"/>
      </w:pPr>
      <w:r>
        <w:rPr>
          <w:bCs/>
          <w:b/>
        </w:rPr>
        <w:t xml:space="preserve">Risk Mitigation Programs:</w:t>
      </w:r>
      <w:r>
        <w:t xml:space="preserve"> </w:t>
      </w:r>
      <w:r>
        <w:t xml:space="preserve">Developing customized cash flow protection packages for Chicago businesses facing supply chain disruptions.</w:t>
      </w:r>
    </w:p>
    <w:bookmarkEnd w:id="24"/>
    <w:bookmarkStart w:id="25" w:name="X6d3412f68f0baae540c8aab744a2f93ed567fa8"/>
    <w:p>
      <w:pPr>
        <w:pStyle w:val="Heading2"/>
      </w:pPr>
      <w:r>
        <w:t xml:space="preserve">VI. Action Plan: Optimizing Future Sales Performance</w:t>
      </w:r>
    </w:p>
    <w:p>
      <w:pPr>
        <w:pStyle w:val="FirstParagraph"/>
      </w:pPr>
      <w:r>
        <w:t xml:space="preserve">To sustain momentum, this Sales Report recommends the following Banker-led initiatives for Q4 2024:</w:t>
      </w:r>
    </w:p>
    <w:p>
      <w:pPr>
        <w:numPr>
          <w:ilvl w:val="0"/>
          <w:numId w:val="1004"/>
        </w:numPr>
        <w:pStyle w:val="Compact"/>
      </w:pPr>
      <w:r>
        <w:rPr>
          <w:bCs/>
          <w:b/>
        </w:rPr>
        <w:t xml:space="preserve">Expand Midwest Manufacturing Focus:</w:t>
      </w:r>
      <w:r>
        <w:t xml:space="preserve"> </w:t>
      </w:r>
      <w:r>
        <w:t xml:space="preserve">Target 50 new commercial accounts in Chicago’s manufacturing corridor (I-90/I-94 corridors) with specialized equipment financing.</w:t>
      </w:r>
    </w:p>
    <w:p>
      <w:pPr>
        <w:numPr>
          <w:ilvl w:val="0"/>
          <w:numId w:val="1004"/>
        </w:numPr>
        <w:pStyle w:val="Compact"/>
      </w:pPr>
      <w:r>
        <w:rPr>
          <w:bCs/>
          <w:b/>
        </w:rPr>
        <w:t xml:space="preserve">Enhance Community Banking Training:</w:t>
      </w:r>
      <w:r>
        <w:t xml:space="preserve"> </w:t>
      </w:r>
      <w:r>
        <w:t xml:space="preserve">Implement quarterly "Chicago Market Deep Dive" sessions for all Bankers on local economic indicators, leveraging partnerships with the Federal Reserve Bank of Chicago.</w:t>
      </w:r>
    </w:p>
    <w:p>
      <w:pPr>
        <w:numPr>
          <w:ilvl w:val="0"/>
          <w:numId w:val="1004"/>
        </w:numPr>
        <w:pStyle w:val="Compact"/>
      </w:pPr>
      <w:r>
        <w:rPr>
          <w:bCs/>
          <w:b/>
        </w:rPr>
        <w:t xml:space="preserve">Leverage United States Regulatory Shifts:</w:t>
      </w:r>
      <w:r>
        <w:t xml:space="preserve"> </w:t>
      </w:r>
      <w:r>
        <w:t xml:space="preserve">Train Bankers to proactively address new CFPB guidelines (e.g., small business lending disclosures) as a sales advantage in the Chicago market.</w:t>
      </w:r>
    </w:p>
    <w:p>
      <w:pPr>
        <w:numPr>
          <w:ilvl w:val="0"/>
          <w:numId w:val="1004"/>
        </w:numPr>
        <w:pStyle w:val="Compact"/>
      </w:pPr>
      <w:r>
        <w:rPr>
          <w:bCs/>
          <w:b/>
        </w:rPr>
        <w:t xml:space="preserve">Client Retention Program:</w:t>
      </w:r>
      <w:r>
        <w:t xml:space="preserve"> </w:t>
      </w:r>
      <w:r>
        <w:t xml:space="preserve">Launch a dedicated "Chicago Business Growth Series" for existing clients, directly tied to Q4 economic forecasts.</w:t>
      </w:r>
    </w:p>
    <w:bookmarkEnd w:id="25"/>
    <w:bookmarkStart w:id="26" w:name="X36abfaa0809965e9b6b7e0aefc9f69f90c4c97a"/>
    <w:p>
      <w:pPr>
        <w:pStyle w:val="Heading2"/>
      </w:pPr>
      <w:r>
        <w:t xml:space="preserve">VII. Conclusion: The Banker's Role in Chicago's Financial Future</w:t>
      </w:r>
    </w:p>
    <w:p>
      <w:pPr>
        <w:pStyle w:val="FirstParagraph"/>
      </w:pPr>
      <w:r>
        <w:t xml:space="preserve">This Sales Report affirms that success in the United States banking sector, particularly within a dynamic market like Chicago, hinges on the Banker’s ability to merge national banking expertise with hyper-local market understanding. Our Q3 performance proves that when Bankers prioritize community insight alongside sales execution – whether navigating Chicago’s complex commercial real estate landscape or tailoring solutions for Gold Coast boutiques – they deliver measurable results. The 18% YoY growth in client acquisition and 23% surge in commercial lending demonstrate that the right approach to Sales Report analysis directly fuels a Banker’s ability to thrive in Chicago. As we move into Q4, this report will serve as the foundational document guiding every Banker’s strategy, ensuring our team remains not just competitive, but strategically positioned to lead within the United States financial ecosystem for years to come.</w:t>
      </w:r>
    </w:p>
    <w:p>
      <w:pPr>
        <w:pStyle w:val="BodyText"/>
      </w:pPr>
      <w:r>
        <w:rPr>
          <w:bCs/>
          <w:b/>
        </w:rPr>
        <w:t xml:space="preserve">Prepared by:</w:t>
      </w:r>
      <w:r>
        <w:t xml:space="preserve"> </w:t>
      </w:r>
      <w:r>
        <w:t xml:space="preserve">Chicago Sales Operations Team |</w:t>
      </w:r>
      <w:r>
        <w:t xml:space="preserve"> </w:t>
      </w:r>
      <w:r>
        <w:rPr>
          <w:bCs/>
          <w:b/>
        </w:rPr>
        <w:t xml:space="preserve">Verified by:</w:t>
      </w:r>
      <w:r>
        <w:t xml:space="preserve"> </w:t>
      </w:r>
      <w:r>
        <w:t xml:space="preserve">Regional Banking Executive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Performance Report: Banking Division</dc:title>
  <dc:creator/>
  <dc:language>en</dc:language>
  <cp:keywords/>
  <dcterms:created xsi:type="dcterms:W3CDTF">2026-07-24T12:28:57Z</dcterms:created>
  <dcterms:modified xsi:type="dcterms:W3CDTF">2026-07-24T12:28:57Z</dcterms:modified>
</cp:coreProperties>
</file>

<file path=docProps/custom.xml><?xml version="1.0" encoding="utf-8"?>
<Properties xmlns="http://schemas.openxmlformats.org/officeDocument/2006/custom-properties" xmlns:vt="http://schemas.openxmlformats.org/officeDocument/2006/docPropsVTypes"/>
</file>