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Banker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r>
        <w:t xml:space="preserve"> </w:t>
      </w:r>
      <w:r>
        <w:t xml:space="preserve">Analysis</w:t>
      </w:r>
    </w:p>
    <w:bookmarkStart w:id="29" w:name="X7eede2ce75f8a7d900b2464c4119c278a3979fe"/>
    <w:p>
      <w:pPr>
        <w:pStyle w:val="Heading1"/>
      </w:pPr>
      <w:r>
        <w:t xml:space="preserve">Q3 2024 Sales Performance Report for Banker Operations in United States Los Angeles</w:t>
      </w:r>
    </w:p>
    <w:bookmarkStart w:id="20" w:name="executive-summary"/>
    <w:p>
      <w:pPr>
        <w:pStyle w:val="Heading2"/>
      </w:pPr>
      <w:r>
        <w:t xml:space="preserve">Executive Summary</w:t>
      </w:r>
    </w:p>
    <w:p>
      <w:pPr>
        <w:pStyle w:val="FirstParagraph"/>
      </w:pPr>
      <w:r>
        <w:t xml:space="preserve">This comprehensive Sales Report details the performance of our Banker division across the United States Los Angeles metropolitan area for the third quarter of 2024. As a pivotal financial hub in Southern California, Los Angeles represents a critical market for our institutional banking strategy. The report demonstrates how our dedicated Banker team has navigated complex economic dynamics to achieve significant growth while reinforcing our position as a leading financial partner in the region.</w:t>
      </w:r>
    </w:p>
    <w:bookmarkEnd w:id="20"/>
    <w:bookmarkStart w:id="21" w:name="Xf73a6f6bb46ff45ce8e8570f4f1ba223edf2d11"/>
    <w:p>
      <w:pPr>
        <w:pStyle w:val="Heading2"/>
      </w:pPr>
      <w:r>
        <w:t xml:space="preserve">Market Context: United States Los Angeles Banking Landscape</w:t>
      </w:r>
    </w:p>
    <w:p>
      <w:pPr>
        <w:pStyle w:val="FirstParagraph"/>
      </w:pPr>
      <w:r>
        <w:t xml:space="preserve">Los Angeles serves as the economic engine of Southern California, housing over 3.9 million residents and generating $675 billion in annual GDP. As a global city with diverse demographics (including significant Hispanic, Asian, and African American communities), the market demands culturally attuned banking solutions. Our Banker division has strategically aligned with this diversity through specialized products for small business owners, real estate developers, and high-net-worth individuals – all concentrated in key LA neighborhoods like Downtown, Century City, and Santa Monica.</w:t>
      </w:r>
    </w:p>
    <w:p>
      <w:pPr>
        <w:pStyle w:val="BodyText"/>
      </w:pPr>
      <w:r>
        <w:t xml:space="preserve">The competitive landscape includes major national banks and local credit unions. However, our Banker team has distinguished itself through hyper-local expertise in Los Angeles' unique market segments: commercial real estate finance (driven by LA's 20% annual growth in office space transactions), immigrant-owned business lending (serving 42% of LA's small businesses), and sustainable finance initiatives matching the city's aggressive climate goals. This localized approach has become a cornerstone of our Sales Report differentiators.</w:t>
      </w:r>
    </w:p>
    <w:bookmarkEnd w:id="21"/>
    <w:bookmarkStart w:id="23" w:name="sales-performance-highlights"/>
    <w:p>
      <w:pPr>
        <w:pStyle w:val="Heading2"/>
      </w:pPr>
      <w:r>
        <w:t xml:space="preserve">Sales Performance Highlights</w:t>
      </w:r>
    </w:p>
    <w:bookmarkStart w:id="22" w:name="key-metrics-q3-2024-vs-q2-2024"/>
    <w:p>
      <w:pPr>
        <w:pStyle w:val="Heading3"/>
      </w:pPr>
      <w:r>
        <w:t xml:space="preserve">Key Metrics (Q3 2024 vs Q2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 Value</w:t>
            </w:r>
          </w:p>
        </w:tc>
        <w:tc>
          <w:tcPr/>
          <w:p>
            <w:pPr>
              <w:pStyle w:val="Compact"/>
              <w:jc w:val="left"/>
            </w:pPr>
            <w:r>
              <w:t xml:space="preserve">Q2 2024 Value</w:t>
            </w:r>
          </w:p>
        </w:tc>
        <w:tc>
          <w:tcPr/>
          <w:p>
            <w:pPr>
              <w:pStyle w:val="Compact"/>
              <w:jc w:val="left"/>
            </w:pPr>
            <w:r>
              <w:t xml:space="preserve">% Change</w:t>
            </w:r>
          </w:p>
        </w:tc>
      </w:tr>
      <w:tr>
        <w:tc>
          <w:tcPr/>
          <w:p>
            <w:pPr>
              <w:pStyle w:val="Compact"/>
              <w:jc w:val="left"/>
            </w:pPr>
            <w:r>
              <w:t xml:space="preserve">Total Commercial Loans Originated (Los Angeles)</w:t>
            </w:r>
          </w:p>
        </w:tc>
        <w:tc>
          <w:tcPr/>
          <w:p>
            <w:pPr>
              <w:pStyle w:val="Compact"/>
              <w:jc w:val="left"/>
            </w:pPr>
            <w:r>
              <w:t xml:space="preserve">$182.5M</w:t>
            </w:r>
          </w:p>
        </w:tc>
        <w:tc>
          <w:tcPr/>
          <w:p>
            <w:pPr>
              <w:pStyle w:val="Compact"/>
              <w:jc w:val="left"/>
            </w:pPr>
            <w:r>
              <w:t xml:space="preserve">$146.3M</w:t>
            </w:r>
          </w:p>
        </w:tc>
        <w:tc>
          <w:tcPr/>
          <w:p>
            <w:pPr>
              <w:pStyle w:val="Compact"/>
              <w:jc w:val="left"/>
            </w:pPr>
            <w:r>
              <w:t xml:space="preserve">+24.8%</w:t>
            </w:r>
          </w:p>
        </w:tc>
      </w:tr>
      <w:tr>
        <w:tc>
          <w:tcPr/>
          <w:p>
            <w:pPr>
              <w:pStyle w:val="Compact"/>
              <w:jc w:val="left"/>
            </w:pPr>
            <w:r>
              <w:t xml:space="preserve">Small Business Lending Volume</w:t>
            </w:r>
          </w:p>
        </w:tc>
        <w:tc>
          <w:tcPr/>
          <w:p>
            <w:pPr>
              <w:pStyle w:val="Compact"/>
              <w:jc w:val="left"/>
            </w:pPr>
            <w:r>
              <w:t xml:space="preserve">$98.7M</w:t>
            </w:r>
          </w:p>
        </w:tc>
        <w:tc>
          <w:tcPr/>
          <w:p>
            <w:pPr>
              <w:pStyle w:val="Compact"/>
              <w:jc w:val="left"/>
            </w:pPr>
            <w:r>
              <w:t xml:space="preserve">$75.2M</w:t>
            </w:r>
          </w:p>
        </w:tc>
        <w:tc>
          <w:tcPr/>
          <w:p>
            <w:pPr>
              <w:pStyle w:val="Compact"/>
              <w:jc w:val="left"/>
            </w:pPr>
            <w:r>
              <w:t xml:space="preserve">+31.2%</w:t>
            </w:r>
          </w:p>
        </w:tc>
      </w:tr>
      <w:tr>
        <w:tc>
          <w:tcPr/>
          <w:p>
            <w:pPr>
              <w:pStyle w:val="Compact"/>
              <w:jc w:val="left"/>
            </w:pPr>
            <w:r>
              <w:t xml:space="preserve">High-Net-Worth Client Acquisition</w:t>
            </w:r>
          </w:p>
        </w:tc>
        <w:tc>
          <w:tcPr/>
          <w:p>
            <w:pPr>
              <w:pStyle w:val="Compact"/>
              <w:jc w:val="left"/>
            </w:pPr>
            <w:r>
              <w:t xml:space="preserve">47 new clients</w:t>
            </w:r>
          </w:p>
        </w:tc>
        <w:tc>
          <w:tcPr/>
          <w:p>
            <w:pPr>
              <w:pStyle w:val="Compact"/>
              <w:jc w:val="left"/>
            </w:pPr>
            <w:r>
              <w:t xml:space="preserve">34 new clients</w:t>
            </w:r>
          </w:p>
        </w:tc>
        <w:tc>
          <w:tcPr/>
          <w:p>
            <w:pPr>
              <w:pStyle w:val="Compact"/>
              <w:jc w:val="left"/>
            </w:pPr>
            <w:r>
              <w:t xml:space="preserve">+38.2%</w:t>
            </w:r>
          </w:p>
        </w:tc>
      </w:tr>
      <w:tr>
        <w:tc>
          <w:tcPr/>
          <w:p>
            <w:pPr>
              <w:pStyle w:val="Compact"/>
              <w:jc w:val="left"/>
            </w:pPr>
            <w:r>
              <w:t xml:space="preserve">Asset Management AUM Growth (LA Market)</w:t>
            </w:r>
          </w:p>
        </w:tc>
        <w:tc>
          <w:tcPr/>
          <w:p>
            <w:pPr>
              <w:pStyle w:val="Compact"/>
              <w:jc w:val="left"/>
            </w:pPr>
            <w:r>
              <w:t xml:space="preserve">$1.2B</w:t>
            </w:r>
          </w:p>
        </w:tc>
        <w:tc>
          <w:tcPr/>
          <w:p>
            <w:pPr>
              <w:pStyle w:val="Compact"/>
              <w:jc w:val="left"/>
            </w:pPr>
            <w:r>
              <w:t xml:space="preserve">$950M</w:t>
            </w:r>
          </w:p>
        </w:tc>
        <w:tc>
          <w:tcPr/>
          <w:p>
            <w:pPr>
              <w:pStyle w:val="Compact"/>
              <w:jc w:val="left"/>
            </w:pPr>
            <w:r>
              <w:t xml:space="preserve">+26.3%</w:t>
            </w:r>
          </w:p>
        </w:tc>
      </w:tr>
    </w:tbl>
    <w:p>
      <w:pPr>
        <w:pStyle w:val="BodyText"/>
      </w:pPr>
      <w:r>
        <w:t xml:space="preserve">These results reflect the Banker team's successful execution of our "LA-First" strategy, with particular strength in commercial real estate (48% of total loan volume) and immigrant business finance (32% of small business lending). The 24.8% increase in commercial loans directly correlates with LA's booming hospitality sector expansion – a trend our Banker specialists anticipated through industry-specific market intelligence.</w:t>
      </w:r>
    </w:p>
    <w:bookmarkEnd w:id="22"/>
    <w:bookmarkEnd w:id="23"/>
    <w:bookmarkStart w:id="24" w:name="strategic-initiatives-driving-success"/>
    <w:p>
      <w:pPr>
        <w:pStyle w:val="Heading2"/>
      </w:pPr>
      <w:r>
        <w:t xml:space="preserve">Strategic Initiatives Driving Success</w:t>
      </w:r>
    </w:p>
    <w:p>
      <w:pPr>
        <w:pStyle w:val="FirstParagraph"/>
      </w:pPr>
      <w:r>
        <w:t xml:space="preserve">Our Banker division in United States Los Angeles implemented three targeted initiatives that directly contributed to these results:</w:t>
      </w:r>
    </w:p>
    <w:p>
      <w:pPr>
        <w:numPr>
          <w:ilvl w:val="0"/>
          <w:numId w:val="1001"/>
        </w:numPr>
        <w:pStyle w:val="Compact"/>
      </w:pPr>
      <w:r>
        <w:rPr>
          <w:bCs/>
          <w:b/>
        </w:rPr>
        <w:t xml:space="preserve">Cultural Fluency Training Program:</w:t>
      </w:r>
      <w:r>
        <w:t xml:space="preserve"> </w:t>
      </w:r>
      <w:r>
        <w:t xml:space="preserve">Certified all 18 Banker advisors in Spanish, Korean, and Vietnamese business protocols. This resulted in a 27% increase in applications from immigrant-owned businesses – representing the fastest-growing segment in LA's economy.</w:t>
      </w:r>
    </w:p>
    <w:p>
      <w:pPr>
        <w:numPr>
          <w:ilvl w:val="0"/>
          <w:numId w:val="1001"/>
        </w:numPr>
        <w:pStyle w:val="Compact"/>
      </w:pPr>
      <w:r>
        <w:rPr>
          <w:bCs/>
          <w:b/>
        </w:rPr>
        <w:t xml:space="preserve">LA Real Estate Partnership Network:</w:t>
      </w:r>
      <w:r>
        <w:t xml:space="preserve"> </w:t>
      </w:r>
      <w:r>
        <w:t xml:space="preserve">Formalized alliances with 12 top-tier commercial real estate firms (including Colliers and CBRE) operating exclusively in Los Angeles. This generated 63% of our Q3 commercial loan volume through referral partnerships.</w:t>
      </w:r>
    </w:p>
    <w:p>
      <w:pPr>
        <w:numPr>
          <w:ilvl w:val="0"/>
          <w:numId w:val="1001"/>
        </w:numPr>
        <w:pStyle w:val="Compact"/>
      </w:pPr>
      <w:r>
        <w:rPr>
          <w:bCs/>
          <w:b/>
        </w:rPr>
        <w:t xml:space="preserve">Sustainable Finance Task Force:</w:t>
      </w:r>
      <w:r>
        <w:t xml:space="preserve"> </w:t>
      </w:r>
      <w:r>
        <w:t xml:space="preserve">Launched LA-specific ESG lending products for green-certified developments. The Banker team closed $52M in sustainable commercial loans – 17% above target, capitalizing on Los Angeles' municipal sustainability mandates.</w:t>
      </w:r>
    </w:p>
    <w:bookmarkEnd w:id="24"/>
    <w:bookmarkStart w:id="25" w:name="X4bd323388ace90d8fda71b8999664d2ab11bdb5"/>
    <w:p>
      <w:pPr>
        <w:pStyle w:val="Heading2"/>
      </w:pPr>
      <w:r>
        <w:t xml:space="preserve">Challenges in United States Los Angeles Market</w:t>
      </w:r>
    </w:p>
    <w:p>
      <w:pPr>
        <w:pStyle w:val="FirstParagraph"/>
      </w:pPr>
      <w:r>
        <w:t xml:space="preserve">Despite strong performance, our Banker division faced significant market-specific challenges:</w:t>
      </w:r>
    </w:p>
    <w:p>
      <w:pPr>
        <w:numPr>
          <w:ilvl w:val="0"/>
          <w:numId w:val="1002"/>
        </w:numPr>
        <w:pStyle w:val="Compact"/>
      </w:pPr>
      <w:r>
        <w:rPr>
          <w:bCs/>
          <w:b/>
        </w:rPr>
        <w:t xml:space="preserve">Regulatory Complexity:</w:t>
      </w:r>
      <w:r>
        <w:t xml:space="preserve"> </w:t>
      </w:r>
      <w:r>
        <w:t xml:space="preserve">Navigating California's evolving lending regulations (particularly AB 1799) required 22% more compliance hours per transaction in LA versus national averages.</w:t>
      </w:r>
    </w:p>
    <w:p>
      <w:pPr>
        <w:numPr>
          <w:ilvl w:val="0"/>
          <w:numId w:val="1002"/>
        </w:numPr>
        <w:pStyle w:val="Compact"/>
      </w:pPr>
      <w:r>
        <w:rPr>
          <w:bCs/>
          <w:b/>
        </w:rPr>
        <w:t xml:space="preserve">Competitive Pressure:</w:t>
      </w:r>
      <w:r>
        <w:t xml:space="preserve"> </w:t>
      </w:r>
      <w:r>
        <w:t xml:space="preserve">Local credit unions increased small business loan promotions by 35% during Q3, demanding higher value propositions from our Banker team.</w:t>
      </w:r>
    </w:p>
    <w:p>
      <w:pPr>
        <w:numPr>
          <w:ilvl w:val="0"/>
          <w:numId w:val="1002"/>
        </w:numPr>
        <w:pStyle w:val="Compact"/>
      </w:pPr>
      <w:r>
        <w:rPr>
          <w:bCs/>
          <w:b/>
        </w:rPr>
        <w:t xml:space="preserve">Economic Volatility:</w:t>
      </w:r>
      <w:r>
        <w:t xml:space="preserve"> </w:t>
      </w:r>
      <w:r>
        <w:t xml:space="preserve">Los Angeles' high commercial vacancy rates (18.7% in downtown) created caution among borrowers, requiring Banker advisors to develop sophisticated risk assessment models tailored to LA's market cycle.</w:t>
      </w:r>
    </w:p>
    <w:bookmarkEnd w:id="25"/>
    <w:bookmarkStart w:id="26" w:name="banker-performance-analysis"/>
    <w:p>
      <w:pPr>
        <w:pStyle w:val="Heading2"/>
      </w:pPr>
      <w:r>
        <w:t xml:space="preserve">Banker Performance Analysis</w:t>
      </w:r>
    </w:p>
    <w:p>
      <w:pPr>
        <w:pStyle w:val="FirstParagraph"/>
      </w:pPr>
      <w:r>
        <w:t xml:space="preserve">The Los Angeles Banker team achieved a 97% client retention rate (versus industry average of 89%) through relationship-focused service. Key to this success was the "LA Neighborhood Strategy" where each Banker was assigned to specific districts (e.g., Koreatown, Boyle Heights, Beverly Hills) for deep community engagement. This localized approach resulted in:</w:t>
      </w:r>
    </w:p>
    <w:p>
      <w:pPr>
        <w:numPr>
          <w:ilvl w:val="0"/>
          <w:numId w:val="1003"/>
        </w:numPr>
        <w:pStyle w:val="Compact"/>
      </w:pPr>
      <w:r>
        <w:t xml:space="preserve">12% higher cross-selling success rates compared to national averages</w:t>
      </w:r>
    </w:p>
    <w:p>
      <w:pPr>
        <w:numPr>
          <w:ilvl w:val="0"/>
          <w:numId w:val="1003"/>
        </w:numPr>
        <w:pStyle w:val="Compact"/>
      </w:pPr>
      <w:r>
        <w:t xml:space="preserve">58% of new clients referred through existing client networks within LA neighborhoods</w:t>
      </w:r>
    </w:p>
    <w:p>
      <w:pPr>
        <w:numPr>
          <w:ilvl w:val="0"/>
          <w:numId w:val="1003"/>
        </w:numPr>
        <w:pStyle w:val="Compact"/>
      </w:pPr>
      <w:r>
        <w:t xml:space="preserve">42% reduction in client acquisition costs due to community trust building</w:t>
      </w:r>
    </w:p>
    <w:bookmarkEnd w:id="26"/>
    <w:bookmarkStart w:id="27" w:name="future-outlook-strategic-recommendations"/>
    <w:p>
      <w:pPr>
        <w:pStyle w:val="Heading2"/>
      </w:pPr>
      <w:r>
        <w:t xml:space="preserve">Future Outlook &amp; Strategic Recommendations</w:t>
      </w:r>
    </w:p>
    <w:p>
      <w:pPr>
        <w:pStyle w:val="FirstParagraph"/>
      </w:pPr>
      <w:r>
        <w:t xml:space="preserve">Based on Q3 performance, we project 17% annual growth in Los Angeles banking revenue for 2025. To maintain this trajectory, the following recommendations will be implemented:</w:t>
      </w:r>
    </w:p>
    <w:p>
      <w:pPr>
        <w:numPr>
          <w:ilvl w:val="0"/>
          <w:numId w:val="1004"/>
        </w:numPr>
        <w:pStyle w:val="Compact"/>
      </w:pPr>
      <w:r>
        <w:rPr>
          <w:bCs/>
          <w:b/>
        </w:rPr>
        <w:t xml:space="preserve">Expand LA Immigrant Business Hub:</w:t>
      </w:r>
      <w:r>
        <w:t xml:space="preserve"> </w:t>
      </w:r>
      <w:r>
        <w:t xml:space="preserve">Establish physical service centers in three high-density immigrant neighborhoods (Central LA, South Gate, San Fernando Valley) to increase accessibility for our Banker services.</w:t>
      </w:r>
    </w:p>
    <w:p>
      <w:pPr>
        <w:numPr>
          <w:ilvl w:val="0"/>
          <w:numId w:val="1004"/>
        </w:numPr>
        <w:pStyle w:val="Compact"/>
      </w:pPr>
      <w:r>
        <w:rPr>
          <w:bCs/>
          <w:b/>
        </w:rPr>
        <w:t xml:space="preserve">Leverage Tech Partnerships:</w:t>
      </w:r>
      <w:r>
        <w:t xml:space="preserve"> </w:t>
      </w:r>
      <w:r>
        <w:t xml:space="preserve">Integrate with Los Angeles' municipal blockchain-based property records system to accelerate loan processing for real estate transactions – a critical need identified through client surveys.</w:t>
      </w:r>
    </w:p>
    <w:p>
      <w:pPr>
        <w:numPr>
          <w:ilvl w:val="0"/>
          <w:numId w:val="1004"/>
        </w:numPr>
        <w:pStyle w:val="Compact"/>
      </w:pPr>
      <w:r>
        <w:rPr>
          <w:bCs/>
          <w:b/>
        </w:rPr>
        <w:t xml:space="preserve">ESG Leadership Program:</w:t>
      </w:r>
      <w:r>
        <w:t xml:space="preserve"> </w:t>
      </w:r>
      <w:r>
        <w:t xml:space="preserve">Develop LA-specific carbon footprint tracking tools for commercial clients, positioning our Banker division as sustainability leaders in the United States Los Angeles market.</w:t>
      </w:r>
    </w:p>
    <w:bookmarkEnd w:id="27"/>
    <w:bookmarkStart w:id="28" w:name="conclusion"/>
    <w:p>
      <w:pPr>
        <w:pStyle w:val="Heading2"/>
      </w:pPr>
      <w:r>
        <w:t xml:space="preserve">Conclusion</w:t>
      </w:r>
    </w:p>
    <w:p>
      <w:pPr>
        <w:pStyle w:val="FirstParagraph"/>
      </w:pPr>
      <w:r>
        <w:t xml:space="preserve">This Sales Report confirms that our Banker division has successfully established itself as the premier banking partner in United States Los Angeles through market-specific expertise and community integration. The Q3 results demonstrate how tailored strategies – rather than generic national approaches – drive measurable success in a complex urban economy. With 78% of LA business owners identifying "local banking knowledge" as their top priority, our Banker team's hyper-localized approach has become a significant competitive advantage.</w:t>
      </w:r>
    </w:p>
    <w:p>
      <w:pPr>
        <w:pStyle w:val="BodyText"/>
      </w:pPr>
      <w:r>
        <w:t xml:space="preserve">As we move into Q4, the focus will intensify on scaling the successful initiatives from this Sales Report to capture 32% of LA's commercial lending market by mid-2025. The Banker division in Los Angeles isn't just adapting to the market – it's redefining what banking success means in one of America's most dynamic financial centers. This performance underscores our commitment that for the United States Los Angeles market, specialized banker expertise is not optional, but essential for sustainable growth.</w:t>
      </w:r>
    </w:p>
    <w:p>
      <w:pPr>
        <w:pStyle w:val="BodyText"/>
      </w:pPr>
      <w:r>
        <w:t xml:space="preserve">Prepared by: National Banking Strategy Office</w:t>
      </w:r>
      <w:r>
        <w:br/>
      </w:r>
      <w:r>
        <w:t xml:space="preserve">Date: October 12,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Banker Sales Report - United States Market Analysis</dc:title>
  <dc:creator/>
  <dc:language>en</dc:language>
  <cp:keywords/>
  <dcterms:created xsi:type="dcterms:W3CDTF">2026-07-24T21:25:16Z</dcterms:created>
  <dcterms:modified xsi:type="dcterms:W3CDTF">2026-07-24T21:25:16Z</dcterms:modified>
</cp:coreProperties>
</file>

<file path=docProps/custom.xml><?xml version="1.0" encoding="utf-8"?>
<Properties xmlns="http://schemas.openxmlformats.org/officeDocument/2006/custom-properties" xmlns:vt="http://schemas.openxmlformats.org/officeDocument/2006/docPropsVTypes"/>
</file>