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Miami</w:t>
      </w:r>
      <w:r>
        <w:t xml:space="preserve"> </w:t>
      </w:r>
      <w:r>
        <w:t xml:space="preserve">Market</w:t>
      </w:r>
    </w:p>
    <w:bookmarkStart w:id="30" w:name="Xb1feb28fbe815e9ebcbe66832c8243777051565"/>
    <w:p>
      <w:pPr>
        <w:pStyle w:val="Heading1"/>
      </w:pPr>
      <w:r>
        <w:t xml:space="preserve">Monthly Sales Report &amp; Strategic Performance Analysis</w:t>
      </w:r>
      <w:r>
        <w:br/>
      </w:r>
      <w:r>
        <w:t xml:space="preserve">For Banking Operations in United States Miami</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Executive Team, Eastern Division |</w:t>
      </w:r>
      <w:r>
        <w:t xml:space="preserve"> </w:t>
      </w:r>
      <w:r>
        <w:rPr>
          <w:bCs/>
          <w:b/>
        </w:rPr>
        <w:t xml:space="preserve">Report Period:</w:t>
      </w:r>
      <w:r>
        <w:t xml:space="preserve"> </w:t>
      </w:r>
      <w:r>
        <w:t xml:space="preserve">September 1, 2023 - September 30, 2023</w:t>
      </w:r>
    </w:p>
    <w:bookmarkStart w:id="20" w:name="X9f2609347fa608edf5aadf76ceb26aede4d6238"/>
    <w:p>
      <w:pPr>
        <w:pStyle w:val="Heading2"/>
      </w:pPr>
      <w:r>
        <w:t xml:space="preserve">Executive Summary: Miami Banking Market Momentum</w:t>
      </w:r>
    </w:p>
    <w:p>
      <w:pPr>
        <w:pStyle w:val="FirstParagraph"/>
      </w:pPr>
      <w:r>
        <w:t xml:space="preserve">This Sales Report details the exceptional performance of our banking operations across the United States Miami market during September 2023. The Miami region achieved unprecedented growth in key sales metrics, driven by strategic initiatives led by our dedicated Banker team. As the financial epicenter of South Florida, United States Miami continues to demonstrate remarkable resilience and expansion potential, with our Banker division capturing significant market share through tailored client solutions and community-focused engagement.</w:t>
      </w:r>
    </w:p>
    <w:p>
      <w:pPr>
        <w:pStyle w:val="BodyText"/>
      </w:pPr>
      <w:r>
        <w:t xml:space="preserve">Notable achievements include a 22.7% year-over-year increase in new commercial account acquisitions and a 15.3% surge in premium wealth management client onboarding – outperforming both regional benchmarks and the broader United States banking sector averages by 8.2 percentage points. This momentum positions us for record-breaking Q4 performance with strategic pipeline expansion across Miami's dynamic business landscape.</w:t>
      </w:r>
    </w:p>
    <w:bookmarkEnd w:id="20"/>
    <w:bookmarkStart w:id="21" w:name="X2edb1c7fdcced626746d925c08272044f822e92"/>
    <w:p>
      <w:pPr>
        <w:pStyle w:val="Heading2"/>
      </w:pPr>
      <w:r>
        <w:t xml:space="preserve">Section 1: Current Sales Performance in United States Miami</w:t>
      </w:r>
    </w:p>
    <w:p>
      <w:pPr>
        <w:pStyle w:val="FirstParagraph"/>
      </w:pPr>
      <w:r>
        <w:t xml:space="preserve">The United States Miami banking market remains a critical growth engine for our national operations. As the financial hub serving over 6.5 million residents and hosting more than 7,000 multinational corporations, Miami's economic activity directly impacts our Banker performance metrics. September data reveals:</w:t>
      </w:r>
    </w:p>
    <w:p>
      <w:pPr>
        <w:pStyle w:val="BodyText"/>
      </w:pPr>
      <w:r>
        <w:t xml:space="preserve">Sales Metric</w:t>
      </w:r>
    </w:p>
    <w:p>
      <w:pPr>
        <w:pStyle w:val="BodyText"/>
      </w:pPr>
      <w:r>
        <w:t xml:space="preserve">September 2023</w:t>
      </w:r>
    </w:p>
    <w:p>
      <w:pPr>
        <w:pStyle w:val="BodyText"/>
      </w:pPr>
      <w:r>
        <w:t xml:space="preserve">August 2023</w:t>
      </w:r>
    </w:p>
    <w:p>
      <w:pPr>
        <w:pStyle w:val="BodyText"/>
      </w:pPr>
      <w:r>
        <w:t xml:space="preserve">% Change (MoM)</w:t>
      </w:r>
    </w:p>
    <w:p>
      <w:pPr>
        <w:pStyle w:val="BodyText"/>
      </w:pPr>
      <w:r>
        <w:t xml:space="preserve">YoY Growth</w:t>
      </w:r>
    </w:p>
    <w:p>
      <w:pPr>
        <w:pStyle w:val="BodyText"/>
      </w:pPr>
      <w:r>
        <w:t xml:space="preserve">New Commercial Accounts Acquired</w:t>
      </w:r>
    </w:p>
    <w:p>
      <w:pPr>
        <w:pStyle w:val="BodyText"/>
      </w:pPr>
      <w:r>
        <w:t xml:space="preserve">$18.7M AUA*</w:t>
      </w:r>
    </w:p>
    <w:p>
      <w:pPr>
        <w:pStyle w:val="BodyText"/>
      </w:pPr>
      <w:r>
        <w:t xml:space="preserve">$15.2M</w:t>
      </w:r>
    </w:p>
    <w:p>
      <w:pPr>
        <w:pStyle w:val="BodyText"/>
      </w:pPr>
      <w:r>
        <w:t xml:space="preserve">+23.0%</w:t>
      </w:r>
    </w:p>
    <w:p>
      <w:pPr>
        <w:pStyle w:val="BodyText"/>
      </w:pPr>
      <w:r>
        <w:t xml:space="preserve">+22.7%</w:t>
      </w:r>
    </w:p>
    <w:p>
      <w:pPr>
        <w:pStyle w:val="BodyText"/>
      </w:pPr>
      <w:r>
        <w:t xml:space="preserve">Private Banking Client Onboarding</w:t>
      </w:r>
    </w:p>
    <w:p>
      <w:pPr>
        <w:pStyle w:val="BodyText"/>
      </w:pPr>
      <w:r>
        <w:t xml:space="preserve">47 New Clients</w:t>
      </w:r>
    </w:p>
    <w:p>
      <w:pPr>
        <w:pStyle w:val="BodyText"/>
      </w:pPr>
      <w:r>
        <w:t xml:space="preserve">39 New Clients</w:t>
      </w:r>
    </w:p>
    <w:p>
      <w:pPr>
        <w:pStyle w:val="BodyText"/>
      </w:pPr>
      <w:r>
        <w:t xml:space="preserve">+20.5%</w:t>
      </w:r>
    </w:p>
    <w:p>
      <w:pPr>
        <w:pStyle w:val="BodyText"/>
      </w:pPr>
      <w:r>
        <w:t xml:space="preserve">+15.3%</w:t>
      </w:r>
    </w:p>
    <w:p>
      <w:pPr>
        <w:pStyle w:val="BodyText"/>
      </w:pPr>
      <w:r>
        <w:t xml:space="preserve">Credit Card Applications Processed</w:t>
      </w:r>
    </w:p>
    <w:p>
      <w:pPr>
        <w:pStyle w:val="BodyText"/>
      </w:pPr>
      <w:r>
        <w:t xml:space="preserve">8,450</w:t>
      </w:r>
    </w:p>
    <w:p>
      <w:pPr>
        <w:pStyle w:val="BodyText"/>
      </w:pPr>
      <w:r>
        <w:t xml:space="preserve">7,210</w:t>
      </w:r>
    </w:p>
    <w:p>
      <w:pPr>
        <w:pStyle w:val="BodyText"/>
      </w:pPr>
      <w:r>
        <w:t xml:space="preserve">+17.2%</w:t>
      </w:r>
    </w:p>
    <w:p>
      <w:pPr>
        <w:pStyle w:val="BodyText"/>
      </w:pPr>
      <w:r>
        <w:t xml:space="preserve">+9.8%</w:t>
      </w:r>
    </w:p>
    <w:p>
      <w:pPr>
        <w:pStyle w:val="BodyText"/>
      </w:pPr>
      <w:r>
        <w:t xml:space="preserve">Small Business Lending Volume</w:t>
      </w:r>
    </w:p>
    <w:p>
      <w:pPr>
        <w:pStyle w:val="BodyText"/>
      </w:pPr>
      <w:r>
        <w:t xml:space="preserve">$24.3M</w:t>
      </w:r>
    </w:p>
    <w:p>
      <w:pPr>
        <w:pStyle w:val="BodyText"/>
      </w:pPr>
      <w:r>
        <w:t xml:space="preserve">$19.6M</w:t>
      </w:r>
    </w:p>
    <w:p>
      <w:pPr>
        <w:pStyle w:val="BodyText"/>
      </w:pPr>
      <w:r>
        <w:t xml:space="preserve">+23.9%</w:t>
      </w:r>
    </w:p>
    <w:p>
      <w:pPr>
        <w:pStyle w:val="BodyText"/>
      </w:pPr>
      <w:r>
        <w:t xml:space="preserve">+18.4%</w:t>
      </w:r>
    </w:p>
    <w:p>
      <w:pPr>
        <w:pStyle w:val="BodyText"/>
      </w:pPr>
      <w:r>
        <w:t xml:space="preserve">*AUA = Assets Under Administration</w:t>
      </w:r>
      <w:r>
        <w:br/>
      </w:r>
      <w:r>
        <w:t xml:space="preserve">**Note: Miami's growth outpaces national average of 7.2% in commercial banking and 5.4% in wealth management sectors per FDIC Q3 reports</w:t>
      </w:r>
    </w:p>
    <w:bookmarkEnd w:id="21"/>
    <w:bookmarkStart w:id="25" w:name="Xdbaae70cb9082bb4e8e28a7aff86b15d136571e"/>
    <w:p>
      <w:pPr>
        <w:pStyle w:val="Heading2"/>
      </w:pPr>
      <w:r>
        <w:t xml:space="preserve">Section 2: Key Sales Initiatives Driving Banker Success</w:t>
      </w:r>
    </w:p>
    <w:p>
      <w:pPr>
        <w:pStyle w:val="FirstParagraph"/>
      </w:pPr>
      <w:r>
        <w:t xml:space="preserve">Our Miami-based Banker team executed three strategic initiatives that directly contributed to this growth:</w:t>
      </w:r>
    </w:p>
    <w:bookmarkStart w:id="22" w:name="hyper-local-market-specialization"/>
    <w:p>
      <w:pPr>
        <w:pStyle w:val="Heading3"/>
      </w:pPr>
      <w:r>
        <w:t xml:space="preserve">1. Hyper-Local Market Specialization</w:t>
      </w:r>
    </w:p>
    <w:p>
      <w:pPr>
        <w:pStyle w:val="FirstParagraph"/>
      </w:pPr>
      <w:r>
        <w:t xml:space="preserve">The United States Miami market requires nuanced banking solutions. Our Bankers developed industry-specific packages for tourism, real estate, and international trade sectors – the top three revenue generators in South Florida. For instance, a specialized "Cruise Line Banking Suite" generated $3.2M in new deposits from major Miami-based shipping companies within one month of launch.</w:t>
      </w:r>
    </w:p>
    <w:bookmarkEnd w:id="22"/>
    <w:bookmarkStart w:id="23" w:name="community-driven-client-acquisition"/>
    <w:p>
      <w:pPr>
        <w:pStyle w:val="Heading3"/>
      </w:pPr>
      <w:r>
        <w:t xml:space="preserve">2. Community-Driven Client Acquisition</w:t>
      </w:r>
    </w:p>
    <w:p>
      <w:pPr>
        <w:pStyle w:val="FirstParagraph"/>
      </w:pPr>
      <w:r>
        <w:t xml:space="preserve">Bankers actively participated in 17 Miami community events (including the Miami International Film Festival and Greater Downtown Development Council) to build trust. This grassroots approach yielded a 35% higher conversion rate from event leads compared to digital campaigns alone, with many clients citing "local understanding" as their primary selection factor.</w:t>
      </w:r>
    </w:p>
    <w:bookmarkEnd w:id="23"/>
    <w:bookmarkStart w:id="24" w:name="digital-first-client-engagement"/>
    <w:p>
      <w:pPr>
        <w:pStyle w:val="Heading3"/>
      </w:pPr>
      <w:r>
        <w:t xml:space="preserve">3. Digital-First Client Engagement</w:t>
      </w:r>
    </w:p>
    <w:p>
      <w:pPr>
        <w:pStyle w:val="FirstParagraph"/>
      </w:pPr>
      <w:r>
        <w:t xml:space="preserve">Through our Miami Mobile Banking App, Bankers delivered personalized financial health assessments. September saw 68% of new clients acquired through digital touchpoints – a 41% increase from Q2 – demonstrating how technology amplifies the Banker's human expertise in the United States Miami market.</w:t>
      </w:r>
    </w:p>
    <w:bookmarkEnd w:id="24"/>
    <w:bookmarkEnd w:id="25"/>
    <w:bookmarkStart w:id="26" w:name="Xd424bb2450e155eaee924e10ace065b2766b7c4"/>
    <w:p>
      <w:pPr>
        <w:pStyle w:val="Heading2"/>
      </w:pPr>
      <w:r>
        <w:t xml:space="preserve">Section 3: Market Dynamics &amp; Competitive Positioning</w:t>
      </w:r>
    </w:p>
    <w:p>
      <w:pPr>
        <w:pStyle w:val="FirstParagraph"/>
      </w:pPr>
      <w:r>
        <w:t xml:space="preserve">As Miami's economy expands at 4.1% annually (faster than national average), our Banker division maintains a strategic advantage through:</w:t>
      </w:r>
    </w:p>
    <w:p>
      <w:pPr>
        <w:numPr>
          <w:ilvl w:val="0"/>
          <w:numId w:val="1001"/>
        </w:numPr>
        <w:pStyle w:val="Compact"/>
      </w:pPr>
      <w:r>
        <w:rPr>
          <w:bCs/>
          <w:b/>
        </w:rPr>
        <w:t xml:space="preserve">Tax Optimization Expertise:</w:t>
      </w:r>
      <w:r>
        <w:t xml:space="preserve"> </w:t>
      </w:r>
      <w:r>
        <w:t xml:space="preserve">Miami's unique tax environment requires specialized banking solutions. Our Bankers developed state-specific wealth planning models that attracted $9.3M in new high-net-worth assets.</w:t>
      </w:r>
    </w:p>
    <w:p>
      <w:pPr>
        <w:numPr>
          <w:ilvl w:val="0"/>
          <w:numId w:val="1001"/>
        </w:numPr>
        <w:pStyle w:val="Compact"/>
      </w:pPr>
      <w:r>
        <w:rPr>
          <w:bCs/>
          <w:b/>
        </w:rPr>
        <w:t xml:space="preserve">Remittance Network Expansion:</w:t>
      </w:r>
      <w:r>
        <w:t xml:space="preserve"> </w:t>
      </w:r>
      <w:r>
        <w:t xml:space="preserve">Capitalizing on Miami's significant Latin American diaspora, we launched dedicated remittance hubs at 5 branch locations, capturing 12% of the regional market share in cross-border payments.</w:t>
      </w:r>
    </w:p>
    <w:p>
      <w:pPr>
        <w:numPr>
          <w:ilvl w:val="0"/>
          <w:numId w:val="1001"/>
        </w:numPr>
        <w:pStyle w:val="Compact"/>
      </w:pPr>
      <w:r>
        <w:rPr>
          <w:bCs/>
          <w:b/>
        </w:rPr>
        <w:t xml:space="preserve">Economic Diversification Alignment:</w:t>
      </w:r>
      <w:r>
        <w:t xml:space="preserve"> </w:t>
      </w:r>
      <w:r>
        <w:t xml:space="preserve">While national banks focus on traditional sectors, our Banker team aggressively pursued Miami's emerging green technology and fintech clusters, securing three major venture-backed client relationships this quarter.</w:t>
      </w:r>
    </w:p>
    <w:p>
      <w:pPr>
        <w:pStyle w:val="FirstParagraph"/>
      </w:pPr>
      <w:r>
        <w:t xml:space="preserve">Competitor analysis confirms our market leadership: 68% of Miami businesses surveyed rank us as "most trusted local banker" versus 47% for national chains – a 21-point advantage directly attributable to our hyper-local approach.</w:t>
      </w:r>
    </w:p>
    <w:bookmarkEnd w:id="26"/>
    <w:bookmarkStart w:id="27" w:name="section-4-challenges-strategic-response"/>
    <w:p>
      <w:pPr>
        <w:pStyle w:val="Heading2"/>
      </w:pPr>
      <w:r>
        <w:t xml:space="preserve">Section 4: Challenges &amp; Strategic Response</w:t>
      </w:r>
    </w:p>
    <w:p>
      <w:pPr>
        <w:pStyle w:val="FirstParagraph"/>
      </w:pPr>
      <w:r>
        <w:t xml:space="preserve">Despite strong performance, Miami presents unique challenges:</w:t>
      </w:r>
    </w:p>
    <w:p>
      <w:pPr>
        <w:numPr>
          <w:ilvl w:val="0"/>
          <w:numId w:val="1002"/>
        </w:numPr>
        <w:pStyle w:val="Compact"/>
      </w:pPr>
      <w:r>
        <w:rPr>
          <w:bCs/>
          <w:b/>
        </w:rPr>
        <w:t xml:space="preserve">Regulatory Complexity:</w:t>
      </w:r>
      <w:r>
        <w:t xml:space="preserve"> </w:t>
      </w:r>
      <w:r>
        <w:t xml:space="preserve">Florida's evolving financial regulations required Bankers to complete 12+ compliance hours monthly. We mitigated this through internal "Regulation Sprint" training sessions, reducing onboarding delays by 33%.</w:t>
      </w:r>
    </w:p>
    <w:p>
      <w:pPr>
        <w:numPr>
          <w:ilvl w:val="0"/>
          <w:numId w:val="1002"/>
        </w:numPr>
        <w:pStyle w:val="Compact"/>
      </w:pPr>
      <w:r>
        <w:rPr>
          <w:bCs/>
          <w:b/>
        </w:rPr>
        <w:t xml:space="preserve">Talent Retention in Competitive Market:</w:t>
      </w:r>
      <w:r>
        <w:t xml:space="preserve"> </w:t>
      </w:r>
      <w:r>
        <w:t xml:space="preserve">Miami's high cost of living impacts banker retention. Our solution: "Miami Advantage Package" with location-specific stipends (20% higher than industry average) and accelerated promotion paths.</w:t>
      </w:r>
    </w:p>
    <w:p>
      <w:pPr>
        <w:numPr>
          <w:ilvl w:val="0"/>
          <w:numId w:val="1002"/>
        </w:numPr>
        <w:pStyle w:val="Compact"/>
      </w:pPr>
      <w:r>
        <w:rPr>
          <w:bCs/>
          <w:b/>
        </w:rPr>
        <w:t xml:space="preserve">Client Acquisition Cost:</w:t>
      </w:r>
      <w:r>
        <w:t xml:space="preserve"> </w:t>
      </w:r>
      <w:r>
        <w:t xml:space="preserve">Rising digital ad costs required re-focusing on community events. This shift increased lead quality by 47% while reducing cost-per-acquisition by 28%.</w:t>
      </w:r>
    </w:p>
    <w:bookmarkEnd w:id="27"/>
    <w:bookmarkStart w:id="28" w:name="Xf59f836e515c641b75ce8f0bd043c75249d2261"/>
    <w:p>
      <w:pPr>
        <w:pStyle w:val="Heading2"/>
      </w:pPr>
      <w:r>
        <w:t xml:space="preserve">Section 5: Q4 Strategic Outlook &amp; Sales Forecast</w:t>
      </w:r>
    </w:p>
    <w:p>
      <w:pPr>
        <w:pStyle w:val="FirstParagraph"/>
      </w:pPr>
      <w:r>
        <w:t xml:space="preserve">Building on September's momentum, our Banker team projects:</w:t>
      </w:r>
    </w:p>
    <w:p>
      <w:pPr>
        <w:pStyle w:val="BodyText"/>
      </w:pPr>
      <w:r>
        <w:t xml:space="preserve">Q4 Projection</w:t>
      </w:r>
    </w:p>
    <w:p>
      <w:pPr>
        <w:pStyle w:val="BodyText"/>
      </w:pPr>
      <w:r>
        <w:t xml:space="preserve">Target</w:t>
      </w:r>
    </w:p>
    <w:p>
      <w:pPr>
        <w:pStyle w:val="BodyText"/>
      </w:pPr>
      <w:r>
        <w:t xml:space="preserve">Growth vs. Q3</w:t>
      </w:r>
    </w:p>
    <w:p>
      <w:pPr>
        <w:pStyle w:val="BodyText"/>
      </w:pPr>
      <w:r>
        <w:t xml:space="preserve">New Commercial Accounts</w:t>
      </w:r>
    </w:p>
    <w:p>
      <w:pPr>
        <w:pStyle w:val="BodyText"/>
      </w:pPr>
      <w:r>
        <w:t xml:space="preserve">$26.5M AUA</w:t>
      </w:r>
    </w:p>
    <w:p>
      <w:pPr>
        <w:pStyle w:val="BodyText"/>
      </w:pPr>
      <w:r>
        <w:t xml:space="preserve">+42% YoY / +30% MoM</w:t>
      </w:r>
    </w:p>
    <w:p>
      <w:pPr>
        <w:pStyle w:val="BodyText"/>
      </w:pPr>
      <w:r>
        <w:t xml:space="preserve">Wealth Management Onboarding</w:t>
      </w:r>
    </w:p>
    <w:p>
      <w:pPr>
        <w:pStyle w:val="BodyText"/>
      </w:pPr>
      <w:r>
        <w:t xml:space="preserve">68 Clients</w:t>
      </w:r>
    </w:p>
    <w:p>
      <w:pPr>
        <w:pStyle w:val="BodyText"/>
      </w:pPr>
      <w:r>
        <w:t xml:space="preserve">+44% YoY / +37% MoM</w:t>
      </w:r>
    </w:p>
    <w:p>
      <w:pPr>
        <w:pStyle w:val="BodyText"/>
      </w:pPr>
      <w:r>
        <w:t xml:space="preserve">Small Business Lending</w:t>
      </w:r>
    </w:p>
    <w:p>
      <w:pPr>
        <w:pStyle w:val="BodyText"/>
      </w:pPr>
      <w:r>
        <w:t xml:space="preserve">$35.1M+</w:t>
      </w:r>
    </w:p>
    <w:p>
      <w:pPr>
        <w:pStyle w:val="BodyText"/>
      </w:pPr>
      <w:r>
        <w:t xml:space="preserve">+29% YoY / +25% MoM</w:t>
      </w:r>
    </w:p>
    <w:p>
      <w:pPr>
        <w:pStyle w:val="BodyText"/>
      </w:pPr>
      <w:r>
        <w:t xml:space="preserve">This forecast leverages Miami's Q4 seasonality – the peak period for year-end financial planning and real estate transactions. Our Bankers will focus on three priority initiatives: 1) Holiday Corporate Banking Packages, 2) International Tax Compliance Workshops, and 3) Miami Startup Accelerator Partnerships. The United States Miami market's unique blend of global business activity and local community engagement remains the cornerstone of our sales strategy.</w:t>
      </w:r>
    </w:p>
    <w:bookmarkEnd w:id="28"/>
    <w:bookmarkStart w:id="29" w:name="X3629ecc0a364b2a1e4ed1cea501b2a805f79d2b"/>
    <w:p>
      <w:pPr>
        <w:pStyle w:val="Heading2"/>
      </w:pPr>
      <w:r>
        <w:t xml:space="preserve">Conclusion: The Banker Advantage in United States Miami</w:t>
      </w:r>
    </w:p>
    <w:p>
      <w:pPr>
        <w:pStyle w:val="FirstParagraph"/>
      </w:pPr>
      <w:r>
        <w:t xml:space="preserve">This Sales Report underscores that our Banker team's success in the United States Miami market isn't accidental – it's engineered through deep local expertise and strategic alignment with Miami's economic identity. Where national banks offer standardized products, our Bankers deliver customized solutions for the very fabric of South Florida: from Cuban-American entrepreneurs to multinational headquarters.</w:t>
      </w:r>
    </w:p>
    <w:p>
      <w:pPr>
        <w:pStyle w:val="BodyText"/>
      </w:pPr>
      <w:r>
        <w:t xml:space="preserve">September 2023 wasn't just a strong month; it was a validation of our market-specific approach. As Miami continues to grow as the economic crossroads between Americas, our Banker division is positioned not merely as service providers but as essential partners in the region's financial ecosystem. The data is clear: when Bankers understand Miami – its rhythms, its people, and its ambitions – they deliver exceptional results that redefine industry benchmarks.</w:t>
      </w:r>
    </w:p>
    <w:p>
      <w:pPr>
        <w:pStyle w:val="BodyText"/>
      </w:pPr>
      <w:r>
        <w:t xml:space="preserve">For the United States Miami market, this isn't just business growth; it's building enduring financial relationships that power a thriving city.</w:t>
      </w:r>
    </w:p>
    <w:bookmarkEnd w:id="29"/>
    <w:p>
      <w:pPr>
        <w:pStyle w:val="BodyText"/>
      </w:pPr>
      <w:r>
        <w:t xml:space="preserve">Prepared by: Miami Regional Sales Strategy Unit | This report is confidential and intended solely for internal use</w:t>
      </w:r>
      <w:r>
        <w:br/>
      </w:r>
      <w:r>
        <w:t xml:space="preserve">Metrics verified against FDIC, Federal Reserve, and Miami-Dade County Economic Development reports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Banking Performance Analysis - United States Miami Market</dc:title>
  <dc:creator/>
  <dc:language>en</dc:language>
  <cp:keywords/>
  <dcterms:created xsi:type="dcterms:W3CDTF">2026-07-24T18:54:04Z</dcterms:created>
  <dcterms:modified xsi:type="dcterms:W3CDTF">2026-07-24T18:54:04Z</dcterms:modified>
</cp:coreProperties>
</file>

<file path=docProps/custom.xml><?xml version="1.0" encoding="utf-8"?>
<Properties xmlns="http://schemas.openxmlformats.org/officeDocument/2006/custom-properties" xmlns:vt="http://schemas.openxmlformats.org/officeDocument/2006/docPropsVTypes"/>
</file>