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a4cada4a4e4f4848cba35d44f43a6f5ebd9bdff"/>
    <w:p>
      <w:pPr>
        <w:pStyle w:val="Heading1"/>
      </w:pPr>
      <w:r>
        <w:t xml:space="preserve">Q3 2023 Sales Report for Relationship Banker - United States New York City Market</w:t>
      </w:r>
    </w:p>
    <w:p>
      <w:pPr>
        <w:pStyle w:val="FirstParagraph"/>
      </w:pPr>
      <w:r>
        <w:t xml:space="preserve">This comprehensive</w:t>
      </w:r>
      <w:r>
        <w:t xml:space="preserve"> </w:t>
      </w:r>
      <w:r>
        <w:rPr>
          <w:bCs/>
          <w:b/>
        </w:rPr>
        <w:t xml:space="preserve">Sales Report</w:t>
      </w:r>
      <w:r>
        <w:t xml:space="preserve"> </w:t>
      </w:r>
      <w:r>
        <w:t xml:space="preserve">details the performance of our premier relationship</w:t>
      </w:r>
      <w:r>
        <w:t xml:space="preserve"> </w:t>
      </w:r>
      <w:r>
        <w:rPr>
          <w:bCs/>
          <w:b/>
        </w:rPr>
        <w:t xml:space="preserve">Banker</w:t>
      </w:r>
      <w:r>
        <w:t xml:space="preserve"> </w:t>
      </w:r>
      <w:r>
        <w:t xml:space="preserve">team operating within the dynamic financial ecosystem of the United States New York City. As the epicenter of global finance, NYC presents unique opportunities and challenges that demand exceptional strategic execution from every banking professional. This document serves as both a performance review and roadmap for sustained excellence in one of the world's most competitive banking markets.</w:t>
      </w:r>
    </w:p>
    <w:bookmarkStart w:id="20" w:name="Xc1f992688221f6c5d84bf6784571a8fd0a6f0f2"/>
    <w:p>
      <w:pPr>
        <w:pStyle w:val="Heading2"/>
      </w:pPr>
      <w:r>
        <w:t xml:space="preserve">Executive Summary: NYC Banking Landscape at a Glance</w:t>
      </w:r>
    </w:p>
    <w:p>
      <w:pPr>
        <w:pStyle w:val="FirstParagraph"/>
      </w:pPr>
      <w:r>
        <w:t xml:space="preserve">In the United States New York City market, our relationship</w:t>
      </w:r>
      <w:r>
        <w:t xml:space="preserve"> </w:t>
      </w:r>
      <w:r>
        <w:rPr>
          <w:bCs/>
          <w:b/>
        </w:rPr>
        <w:t xml:space="preserve">Banker</w:t>
      </w:r>
      <w:r>
        <w:t xml:space="preserve"> </w:t>
      </w:r>
      <w:r>
        <w:t xml:space="preserve">team achieved remarkable results during Q3 2023. Despite persistent economic volatility and heightened regulatory scrutiny across the U.S. banking sector, our NYC-based</w:t>
      </w:r>
      <w:r>
        <w:t xml:space="preserve"> </w:t>
      </w:r>
      <w:r>
        <w:rPr>
          <w:bCs/>
          <w:b/>
        </w:rPr>
        <w:t xml:space="preserve">Banker</w:t>
      </w:r>
      <w:r>
        <w:t xml:space="preserve"> </w:t>
      </w:r>
      <w:r>
        <w:t xml:space="preserve">portfolio generated $142.7 million in new business revenue – a 19% year-over-year increase that significantly outperformed both regional and national benchmarks. This success stems from our hyper-localized approach to client relationships within the United States New York City financial corridor, where we've cultivated deep expertise in navigating the city's complex commercial landscape.</w:t>
      </w:r>
    </w:p>
    <w:p>
      <w:pPr>
        <w:pStyle w:val="BodyText"/>
      </w:pPr>
      <w:r>
        <w:t xml:space="preserve">Notably, our NYC team secured 12 new enterprise clients across high-growth sectors including fintech startups on Wall Street, luxury real estate developers in Manhattan, and multinational corporations expanding operations from Brooklyn to Queens. This demonstrates how our specialized</w:t>
      </w:r>
      <w:r>
        <w:t xml:space="preserve"> </w:t>
      </w:r>
      <w:r>
        <w:rPr>
          <w:bCs/>
          <w:b/>
        </w:rPr>
        <w:t xml:space="preserve">Banker</w:t>
      </w:r>
      <w:r>
        <w:t xml:space="preserve"> </w:t>
      </w:r>
      <w:r>
        <w:t xml:space="preserve">strategy directly addresses the unique needs of businesses operating within the United States New York City ecosystem.</w:t>
      </w:r>
    </w:p>
    <w:bookmarkEnd w:id="20"/>
    <w:bookmarkStart w:id="21" w:name="Xf4b1ebe41dcbf69d642c0ca73c3b699a8d09690"/>
    <w:p>
      <w:pPr>
        <w:pStyle w:val="Heading2"/>
      </w:pPr>
      <w:r>
        <w:t xml:space="preserve">Sales Performance Breakdown: NYC-Specific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Q3 2023 Value (USD)</w:t>
            </w:r>
          </w:p>
        </w:tc>
        <w:tc>
          <w:tcPr/>
          <w:p>
            <w:pPr>
              <w:pStyle w:val="Compact"/>
              <w:jc w:val="left"/>
            </w:pPr>
            <w:r>
              <w:t xml:space="preserve">YoY Growth</w:t>
            </w:r>
          </w:p>
        </w:tc>
        <w:tc>
          <w:tcPr/>
          <w:p>
            <w:pPr>
              <w:pStyle w:val="Compact"/>
              <w:jc w:val="left"/>
            </w:pPr>
            <w:r>
              <w:t xml:space="preserve">NYC Market Share Impact</w:t>
            </w:r>
          </w:p>
        </w:tc>
      </w:tr>
      <w:tr>
        <w:tc>
          <w:tcPr/>
          <w:p>
            <w:pPr>
              <w:pStyle w:val="Compact"/>
              <w:jc w:val="left"/>
            </w:pPr>
            <w:r>
              <w:t xml:space="preserve">New Commercial Loan Originations</w:t>
            </w:r>
          </w:p>
        </w:tc>
        <w:tc>
          <w:tcPr/>
          <w:p>
            <w:pPr>
              <w:pStyle w:val="Compact"/>
              <w:jc w:val="left"/>
            </w:pPr>
            <w:r>
              <w:t xml:space="preserve">$78.4M</w:t>
            </w:r>
          </w:p>
        </w:tc>
        <w:tc>
          <w:tcPr/>
          <w:p>
            <w:pPr>
              <w:pStyle w:val="Compact"/>
              <w:jc w:val="left"/>
            </w:pPr>
            <w:r>
              <w:t xml:space="preserve">+23.5%</w:t>
            </w:r>
          </w:p>
        </w:tc>
        <w:tc>
          <w:tcPr/>
          <w:p>
            <w:pPr>
              <w:pStyle w:val="Compact"/>
              <w:jc w:val="left"/>
            </w:pPr>
            <w:r>
              <w:t xml:space="preserve">Increased from 12% to 16% of NYC commercial loan market</w:t>
            </w:r>
          </w:p>
        </w:tc>
      </w:tr>
      <w:tr>
        <w:tc>
          <w:tcPr/>
          <w:p>
            <w:pPr>
              <w:pStyle w:val="Compact"/>
              <w:jc w:val="left"/>
            </w:pPr>
            <w:r>
              <w:t xml:space="preserve">Wealth Management AUM Growth</w:t>
            </w:r>
          </w:p>
        </w:tc>
        <w:tc>
          <w:tcPr/>
          <w:p>
            <w:pPr>
              <w:pStyle w:val="Compact"/>
              <w:jc w:val="left"/>
            </w:pPr>
            <w:r>
              <w:t xml:space="preserve">$38.9M</w:t>
            </w:r>
          </w:p>
        </w:tc>
        <w:tc>
          <w:tcPr/>
          <w:p>
            <w:pPr>
              <w:pStyle w:val="Compact"/>
              <w:jc w:val="left"/>
            </w:pPr>
            <w:r>
              <w:t xml:space="preserve">+15.7%</w:t>
            </w:r>
          </w:p>
        </w:tc>
        <w:tc>
          <w:tcPr/>
          <w:p>
            <w:pPr>
              <w:pStyle w:val="Compact"/>
              <w:jc w:val="left"/>
            </w:pPr>
            <w:r>
              <w:t xml:space="preserve">Outpaced NY State average by 4.2x</w:t>
            </w:r>
          </w:p>
        </w:tc>
      </w:tr>
      <w:tr>
        <w:tc>
          <w:tcPr/>
          <w:p>
            <w:pPr>
              <w:pStyle w:val="Compact"/>
              <w:jc w:val="left"/>
            </w:pPr>
            <w:r>
              <w:t xml:space="preserve">Cross-Sell Ratio (Client)</w:t>
            </w:r>
          </w:p>
        </w:tc>
        <w:tc>
          <w:tcPr/>
          <w:p>
            <w:pPr>
              <w:pStyle w:val="Compact"/>
              <w:jc w:val="left"/>
            </w:pPr>
            <w:r>
              <w:t xml:space="preserve">4.7 products/client</w:t>
            </w:r>
          </w:p>
        </w:tc>
        <w:tc>
          <w:tcPr/>
          <w:p>
            <w:pPr>
              <w:pStyle w:val="Compact"/>
              <w:jc w:val="left"/>
            </w:pPr>
            <w:r>
              <w:t xml:space="preserve">+0.8 over Q2</w:t>
            </w:r>
          </w:p>
        </w:tc>
        <w:tc>
          <w:tcPr/>
          <w:p>
            <w:pPr>
              <w:pStyle w:val="Compact"/>
              <w:jc w:val="left"/>
            </w:pPr>
            <w:r>
              <w:t xml:space="preserve">Top 3 in NYC among major banks</w:t>
            </w:r>
          </w:p>
        </w:tc>
      </w:tr>
      <w:tr>
        <w:tc>
          <w:tcPr/>
          <w:p>
            <w:pPr>
              <w:pStyle w:val="Compact"/>
              <w:jc w:val="left"/>
            </w:pPr>
            <w:r>
              <w:t xml:space="preserve">New Corporate Treasury Clients</w:t>
            </w:r>
          </w:p>
        </w:tc>
        <w:tc>
          <w:tcPr/>
          <w:p>
            <w:pPr>
              <w:pStyle w:val="Compact"/>
              <w:jc w:val="left"/>
            </w:pPr>
            <w:r>
              <w:t xml:space="preserve">$25.4M AUM</w:t>
            </w:r>
          </w:p>
        </w:tc>
        <w:tc>
          <w:tcPr/>
          <w:p>
            <w:pPr>
              <w:pStyle w:val="Compact"/>
              <w:jc w:val="left"/>
            </w:pPr>
            <w:r>
              <w:t xml:space="preserve">+31.2%</w:t>
            </w:r>
          </w:p>
        </w:tc>
        <w:tc>
          <w:tcPr/>
          <w:p>
            <w:pPr>
              <w:pStyle w:val="Compact"/>
              <w:jc w:val="left"/>
            </w:pPr>
            <w:r>
              <w:t xml:space="preserve">Record-breaking entry into NYC tech corridor</w:t>
            </w:r>
          </w:p>
        </w:tc>
      </w:tr>
    </w:tbl>
    <w:bookmarkEnd w:id="21"/>
    <w:bookmarkStart w:id="25" w:name="X62b84aedad82563b874e680be8a350fcb95e02d"/>
    <w:p>
      <w:pPr>
        <w:pStyle w:val="Heading2"/>
      </w:pPr>
      <w:r>
        <w:t xml:space="preserve">Key Achievements: The NYC Banker Advantage</w:t>
      </w:r>
    </w:p>
    <w:p>
      <w:pPr>
        <w:pStyle w:val="FirstParagraph"/>
      </w:pPr>
      <w:r>
        <w:t xml:space="preserve">The success of our relationship</w:t>
      </w:r>
      <w:r>
        <w:t xml:space="preserve"> </w:t>
      </w:r>
      <w:r>
        <w:rPr>
          <w:bCs/>
          <w:b/>
        </w:rPr>
        <w:t xml:space="preserve">Banker</w:t>
      </w:r>
      <w:r>
        <w:t xml:space="preserve"> </w:t>
      </w:r>
      <w:r>
        <w:t xml:space="preserve">team in United States New York City stems from three pillars that differentiate us in this competitive market:</w:t>
      </w:r>
    </w:p>
    <w:bookmarkStart w:id="22" w:name="hyper-local-market-intelligence"/>
    <w:p>
      <w:pPr>
        <w:pStyle w:val="Heading3"/>
      </w:pPr>
      <w:r>
        <w:t xml:space="preserve">1. Hyper-Local Market Intelligence</w:t>
      </w:r>
    </w:p>
    <w:p>
      <w:pPr>
        <w:pStyle w:val="FirstParagraph"/>
      </w:pPr>
      <w:r>
        <w:t xml:space="preserve">NYC's banking environment requires nuanced understanding beyond standard financial products. Our dedicated NYC-based</w:t>
      </w:r>
      <w:r>
        <w:t xml:space="preserve"> </w:t>
      </w:r>
      <w:r>
        <w:rPr>
          <w:bCs/>
          <w:b/>
        </w:rPr>
        <w:t xml:space="preserve">Banker</w:t>
      </w:r>
      <w:r>
        <w:t xml:space="preserve"> </w:t>
      </w:r>
      <w:r>
        <w:t xml:space="preserve">team maintains real-time knowledge of neighborhood economic shifts – from the revitalization of Long Island City to commercial real estate trends in Midtown Manhattan. This localized insight enabled our</w:t>
      </w:r>
      <w:r>
        <w:t xml:space="preserve"> </w:t>
      </w:r>
      <w:r>
        <w:rPr>
          <w:bCs/>
          <w:b/>
        </w:rPr>
        <w:t xml:space="preserve">Banker</w:t>
      </w:r>
      <w:r>
        <w:t xml:space="preserve"> </w:t>
      </w:r>
      <w:r>
        <w:t xml:space="preserve">to secure a $22M financing package for a sustainable luxury housing project in Williamsburg by anticipating zoning changes before competitors recognized them.</w:t>
      </w:r>
    </w:p>
    <w:bookmarkEnd w:id="22"/>
    <w:bookmarkStart w:id="23" w:name="nyc-regulatory-navigation-expertise"/>
    <w:p>
      <w:pPr>
        <w:pStyle w:val="Heading3"/>
      </w:pPr>
      <w:r>
        <w:t xml:space="preserve">2. NYC Regulatory Navigation Expertise</w:t>
      </w:r>
    </w:p>
    <w:p>
      <w:pPr>
        <w:pStyle w:val="FirstParagraph"/>
      </w:pPr>
      <w:r>
        <w:t xml:space="preserve">In the United States New York City, banking compliance carries unique complexities. Our</w:t>
      </w:r>
      <w:r>
        <w:t xml:space="preserve"> </w:t>
      </w:r>
      <w:r>
        <w:rPr>
          <w:bCs/>
          <w:b/>
        </w:rPr>
        <w:t xml:space="preserve">Banker</w:t>
      </w:r>
      <w:r>
        <w:t xml:space="preserve"> </w:t>
      </w:r>
      <w:r>
        <w:t xml:space="preserve">team achieved 100% regulatory compliance across all client transactions during Q3 while reducing processing times by 28% through specialized knowledge of NYC-specific banking regulations. This capability directly contributed to securing a $15M investment for a FinTech startup navigating the NYDFS approval process.</w:t>
      </w:r>
    </w:p>
    <w:bookmarkEnd w:id="23"/>
    <w:bookmarkStart w:id="24" w:name="community-integration-strategy"/>
    <w:p>
      <w:pPr>
        <w:pStyle w:val="Heading3"/>
      </w:pPr>
      <w:r>
        <w:t xml:space="preserve">3. Community Integration Strategy</w:t>
      </w:r>
    </w:p>
    <w:p>
      <w:pPr>
        <w:pStyle w:val="FirstParagraph"/>
      </w:pPr>
      <w:r>
        <w:t xml:space="preserve">Unlike national banks with generic approaches, our relationship</w:t>
      </w:r>
      <w:r>
        <w:t xml:space="preserve"> </w:t>
      </w:r>
      <w:r>
        <w:rPr>
          <w:bCs/>
          <w:b/>
        </w:rPr>
        <w:t xml:space="preserve">Banker</w:t>
      </w:r>
      <w:r>
        <w:t xml:space="preserve"> </w:t>
      </w:r>
      <w:r>
        <w:t xml:space="preserve">in New York City actively participates in local economic development initiatives – from sponsoring Brooklyn Chamber of Commerce events to collaborating with NYC Small Business Services. This community presence generated 27 qualified leads during Q3, demonstrating how authentic NYC engagement drives sales results.</w:t>
      </w:r>
    </w:p>
    <w:bookmarkEnd w:id="24"/>
    <w:bookmarkEnd w:id="25"/>
    <w:bookmarkStart w:id="26" w:name="X26ebc1b19e4a73753583ca5a3d4309d15d7c294"/>
    <w:p>
      <w:pPr>
        <w:pStyle w:val="Heading2"/>
      </w:pPr>
      <w:r>
        <w:t xml:space="preserve">Market Analysis: Why NYC Demands Specialized Banking</w:t>
      </w:r>
    </w:p>
    <w:p>
      <w:pPr>
        <w:pStyle w:val="FirstParagraph"/>
      </w:pPr>
      <w:r>
        <w:t xml:space="preserve">The United States New York City market represents a $1.8 trillion banking ecosystem that operates on different rules than other U.S. regions. As our Q3 sales data confirms, NYC clients expect more than transactional banking – they require strategic partners who understand the city's unique rhythm: quarterly tax deadlines tied to fiscal year-end, borough-specific zoning regulations, and the cultural nuances of doing business in Manhattan versus Queens.</w:t>
      </w:r>
    </w:p>
    <w:p>
      <w:pPr>
        <w:pStyle w:val="BodyText"/>
      </w:pPr>
      <w:r>
        <w:t xml:space="preserve">Our sales performance reveals that clients in United States New York City prioritize relationship continuity above all. The top 5 performing</w:t>
      </w:r>
      <w:r>
        <w:t xml:space="preserve"> </w:t>
      </w:r>
      <w:r>
        <w:rPr>
          <w:bCs/>
          <w:b/>
        </w:rPr>
        <w:t xml:space="preserve">Banker</w:t>
      </w:r>
      <w:r>
        <w:t xml:space="preserve">s maintained 98% client retention rate by demonstrating consistent understanding of NYC-specific challenges – whether helping a restaurant group navigate post-pandemic liquor license regulations or advising a hedge fund on compliance with NYC's new ESG disclosure rules. This specialized approach directly correlates to our Q3 results, where clients served by dedicated NYC</w:t>
      </w:r>
      <w:r>
        <w:t xml:space="preserve"> </w:t>
      </w:r>
      <w:r>
        <w:rPr>
          <w:bCs/>
          <w:b/>
        </w:rPr>
        <w:t xml:space="preserve">Banker</w:t>
      </w:r>
      <w:r>
        <w:t xml:space="preserve">s generated 34% higher lifetime value than average.</w:t>
      </w:r>
    </w:p>
    <w:bookmarkEnd w:id="26"/>
    <w:bookmarkStart w:id="27" w:name="X34ca15c43a9c5f9f9ebf6862e0d5c525628a665"/>
    <w:p>
      <w:pPr>
        <w:pStyle w:val="Heading2"/>
      </w:pPr>
      <w:r>
        <w:t xml:space="preserve">Challenges &amp; Strategic Response in the NYC Market</w:t>
      </w:r>
    </w:p>
    <w:p>
      <w:pPr>
        <w:pStyle w:val="FirstParagraph"/>
      </w:pPr>
      <w:r>
        <w:t xml:space="preserve">The United States New York City market presents distinct challenges that our sales strategy addresses head-on:</w:t>
      </w:r>
    </w:p>
    <w:p>
      <w:pPr>
        <w:numPr>
          <w:ilvl w:val="0"/>
          <w:numId w:val="1001"/>
        </w:numPr>
        <w:pStyle w:val="Compact"/>
      </w:pPr>
      <w:r>
        <w:rPr>
          <w:bCs/>
          <w:b/>
        </w:rPr>
        <w:t xml:space="preserve">Intense Competition:</w:t>
      </w:r>
      <w:r>
        <w:t xml:space="preserve"> </w:t>
      </w:r>
      <w:r>
        <w:t xml:space="preserve">With over 4,500 financial institutions operating in NYC, we've implemented a "Niche Dominance" strategy where each relationship</w:t>
      </w:r>
      <w:r>
        <w:t xml:space="preserve"> </w:t>
      </w:r>
      <w:r>
        <w:rPr>
          <w:bCs/>
          <w:b/>
        </w:rPr>
        <w:t xml:space="preserve">Banker</w:t>
      </w:r>
      <w:r>
        <w:t xml:space="preserve"> </w:t>
      </w:r>
      <w:r>
        <w:t xml:space="preserve">focuses on specific industry verticals (e.g., healthcare, real estate, arts &amp; culture) rather than generic banking.</w:t>
      </w:r>
    </w:p>
    <w:p>
      <w:pPr>
        <w:numPr>
          <w:ilvl w:val="0"/>
          <w:numId w:val="1001"/>
        </w:numPr>
        <w:pStyle w:val="Compact"/>
      </w:pPr>
      <w:r>
        <w:rPr>
          <w:bCs/>
          <w:b/>
        </w:rPr>
        <w:t xml:space="preserve">Economic Volatility:</w:t>
      </w:r>
      <w:r>
        <w:t xml:space="preserve"> </w:t>
      </w:r>
      <w:r>
        <w:t xml:space="preserve">Our NYC team developed dynamic pricing models that adjust to monthly NYC commercial vacancy rates – allowing us to capture deals when competitors are frozen by uncertainty.</w:t>
      </w:r>
    </w:p>
    <w:bookmarkEnd w:id="27"/>
    <w:bookmarkStart w:id="28" w:name="Xf3d81baae991628e0e56dc245a02758a3455309"/>
    <w:p>
      <w:pPr>
        <w:pStyle w:val="Heading2"/>
      </w:pPr>
      <w:r>
        <w:t xml:space="preserve">Future Strategy: Elevating the NYC Banker Role</w:t>
      </w:r>
    </w:p>
    <w:p>
      <w:pPr>
        <w:pStyle w:val="FirstParagraph"/>
      </w:pPr>
      <w:r>
        <w:t xml:space="preserve">For Q4 2023 and beyond, our strategic focus for the relationship</w:t>
      </w:r>
      <w:r>
        <w:t xml:space="preserve"> </w:t>
      </w:r>
      <w:r>
        <w:rPr>
          <w:bCs/>
          <w:b/>
        </w:rPr>
        <w:t xml:space="preserve">Banker</w:t>
      </w:r>
      <w:r>
        <w:t xml:space="preserve"> </w:t>
      </w:r>
      <w:r>
        <w:t xml:space="preserve">in United States New York City includes:</w:t>
      </w:r>
    </w:p>
    <w:p>
      <w:pPr>
        <w:numPr>
          <w:ilvl w:val="0"/>
          <w:numId w:val="1002"/>
        </w:numPr>
        <w:pStyle w:val="Compact"/>
      </w:pPr>
      <w:r>
        <w:rPr>
          <w:bCs/>
          <w:b/>
        </w:rPr>
        <w:t xml:space="preserve">NYC Industry Academies:</w:t>
      </w:r>
      <w:r>
        <w:t xml:space="preserve"> </w:t>
      </w:r>
      <w:r>
        <w:t xml:space="preserve">Launching specialized training programs where each banker becomes a recognized expert in one NYC industry (e.g., "NYC HealthTech Banking Specialist" certification)</w:t>
      </w:r>
    </w:p>
    <w:p>
      <w:pPr>
        <w:numPr>
          <w:ilvl w:val="0"/>
          <w:numId w:val="1002"/>
        </w:numPr>
        <w:pStyle w:val="Compact"/>
      </w:pPr>
      <w:r>
        <w:rPr>
          <w:bCs/>
          <w:b/>
        </w:rPr>
        <w:t xml:space="preserve">Hyper-Local Digital Platforms:</w:t>
      </w:r>
      <w:r>
        <w:t xml:space="preserve"> </w:t>
      </w:r>
      <w:r>
        <w:t xml:space="preserve">Developing client portals with real-time NYC economic data dashboards that only our relationship</w:t>
      </w:r>
      <w:r>
        <w:t xml:space="preserve"> </w:t>
      </w:r>
      <w:r>
        <w:rPr>
          <w:bCs/>
          <w:b/>
        </w:rPr>
        <w:t xml:space="preserve">Banker</w:t>
      </w:r>
      <w:r>
        <w:t xml:space="preserve"> </w:t>
      </w:r>
      <w:r>
        <w:t xml:space="preserve">can access</w:t>
      </w:r>
    </w:p>
    <w:p>
      <w:pPr>
        <w:numPr>
          <w:ilvl w:val="0"/>
          <w:numId w:val="1002"/>
        </w:numPr>
        <w:pStyle w:val="Compact"/>
      </w:pPr>
      <w:r>
        <w:rPr>
          <w:bCs/>
          <w:b/>
        </w:rPr>
        <w:t xml:space="preserve">Diversity &amp; Inclusion Acceleration:</w:t>
      </w:r>
      <w:r>
        <w:t xml:space="preserve"> </w:t>
      </w:r>
      <w:r>
        <w:t xml:space="preserve">Targeting 40% of new commercial clients in underserved NYC neighborhoods (Bronx, South Brooklyn) by Q2 2024 through dedicated community banker initiatives</w:t>
      </w:r>
    </w:p>
    <w:bookmarkEnd w:id="28"/>
    <w:bookmarkStart w:id="29" w:name="conclusion-the-nyc-banker-imperative"/>
    <w:p>
      <w:pPr>
        <w:pStyle w:val="Heading2"/>
      </w:pPr>
      <w:r>
        <w:t xml:space="preserve">Conclusion: The NYC Banker Imperative</w:t>
      </w:r>
    </w:p>
    <w:p>
      <w:pPr>
        <w:pStyle w:val="FirstParagraph"/>
      </w:pPr>
      <w:r>
        <w:t xml:space="preserve">This Sales Report unequivocally demonstrates that in the United States New York City market, success demands more than standard banking services – it requires a specialized relationship</w:t>
      </w:r>
      <w:r>
        <w:t xml:space="preserve"> </w:t>
      </w:r>
      <w:r>
        <w:rPr>
          <w:bCs/>
          <w:b/>
        </w:rPr>
        <w:t xml:space="preserve">Banker</w:t>
      </w:r>
      <w:r>
        <w:t xml:space="preserve"> </w:t>
      </w:r>
      <w:r>
        <w:t xml:space="preserve">who operates as an extension of the client's business within the city's unique ecosystem. The Q3 results prove that our NYC-focused sales strategy delivers superior outcomes: higher revenue, stronger retention, and deeper client partnerships precisely because we've embedded our relationship</w:t>
      </w:r>
      <w:r>
        <w:t xml:space="preserve"> </w:t>
      </w:r>
      <w:r>
        <w:rPr>
          <w:bCs/>
          <w:b/>
        </w:rPr>
        <w:t xml:space="preserve">Banker</w:t>
      </w:r>
      <w:r>
        <w:t xml:space="preserve">s into the fabric of New York City commerce.</w:t>
      </w:r>
    </w:p>
    <w:p>
      <w:pPr>
        <w:pStyle w:val="BodyText"/>
      </w:pPr>
      <w:r>
        <w:t xml:space="preserve">As we move into Q4, the priority remains clear: double down on hyper-local expertise. Every sales initiative must answer one question: "How does this specifically benefit a client doing business in United States New York City?" This focused approach will ensure our relationship</w:t>
      </w:r>
      <w:r>
        <w:t xml:space="preserve"> </w:t>
      </w:r>
      <w:r>
        <w:rPr>
          <w:bCs/>
          <w:b/>
        </w:rPr>
        <w:t xml:space="preserve">Banker</w:t>
      </w:r>
      <w:r>
        <w:t xml:space="preserve">s continue to drive outsized results in the world's premier financial marketplace.</w:t>
      </w:r>
    </w:p>
    <w:p>
      <w:pPr>
        <w:pStyle w:val="BodyText"/>
      </w:pPr>
      <w:r>
        <w:t xml:space="preserve">Prepared for: Executive Leadership, United States New York City Regional Office</w:t>
      </w:r>
      <w:r>
        <w:br/>
      </w:r>
      <w:r>
        <w:t xml:space="preserve">Report Period: July 1, 2023 - September 30, 2023</w:t>
      </w:r>
      <w:r>
        <w:br/>
      </w:r>
      <w:r>
        <w:t xml:space="preserve">Sales Performance Document | Confidential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Sales Report: United States New York City</dc:title>
  <dc:creator/>
  <dc:language>en</dc:language>
  <cp:keywords/>
  <dcterms:created xsi:type="dcterms:W3CDTF">2026-07-24T17:11:18Z</dcterms:created>
  <dcterms:modified xsi:type="dcterms:W3CDTF">2026-07-24T17:11:18Z</dcterms:modified>
</cp:coreProperties>
</file>

<file path=docProps/custom.xml><?xml version="1.0" encoding="utf-8"?>
<Properties xmlns="http://schemas.openxmlformats.org/officeDocument/2006/custom-properties" xmlns:vt="http://schemas.openxmlformats.org/officeDocument/2006/docPropsVTypes"/>
</file>