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r>
        <w:t xml:space="preserve"> </w:t>
      </w:r>
      <w:r>
        <w:t xml:space="preserve">Performance</w:t>
      </w:r>
    </w:p>
    <w:bookmarkStart w:id="30" w:name="X0a866bf32435fd84315523a360afb99ac340648"/>
    <w:p>
      <w:pPr>
        <w:pStyle w:val="Heading1"/>
      </w:pPr>
      <w:r>
        <w:t xml:space="preserve">Sales Report: Banking Excellence in United States San Francisco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Team, United States San Francisco Branch</w:t>
      </w:r>
      <w:r>
        <w:br/>
      </w:r>
      <w:r>
        <w:rPr>
          <w:bCs/>
          <w:b/>
        </w:rPr>
        <w:t xml:space="preserve">Prepared By:</w:t>
      </w:r>
      <w:r>
        <w:t xml:space="preserve"> </w:t>
      </w:r>
      <w:r>
        <w:t xml:space="preserve">Regional Sales Strategy Department</w:t>
      </w:r>
    </w:p>
    <w:bookmarkStart w:id="20" w:name="i.-executive-summary"/>
    <w:p>
      <w:pPr>
        <w:pStyle w:val="Heading2"/>
      </w:pPr>
      <w:r>
        <w:t xml:space="preserve">I. Executive Summary</w:t>
      </w:r>
    </w:p>
    <w:p>
      <w:pPr>
        <w:pStyle w:val="FirstParagraph"/>
      </w:pPr>
      <w:r>
        <w:t xml:space="preserve">This comprehensive Sales Report details the performance of our banking operations within the dynamic United States San Francisco market during Q3 2023. As a premier Banker serving this innovation-driven financial hub, our team achieved remarkable growth in high-value client acquisition and portfolio expansion. Despite regional economic volatility, we exceeded sales targets by 18.7% year-over-year, solidifying our position as a leading financial partner for both tech entrepreneurs and established enterprises across the United States San Francisco corridor. This report underscores strategic initiatives that empowered our Banker professionals to deliver exceptional results in one of America's most competitive banking landscapes.</w:t>
      </w:r>
    </w:p>
    <w:bookmarkEnd w:id="20"/>
    <w:bookmarkStart w:id="21" w:name="ii.-key-sales-performance-metrics"/>
    <w:p>
      <w:pPr>
        <w:pStyle w:val="Heading2"/>
      </w:pPr>
      <w:r>
        <w:t xml:space="preserve">II. 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(Actual)</w:t>
            </w:r>
          </w:p>
        </w:tc>
        <w:tc>
          <w:tcPr/>
          <w:p>
            <w:pPr>
              <w:pStyle w:val="Compact"/>
              <w:jc w:val="left"/>
            </w:pPr>
            <w:r>
              <w:t xml:space="preserve">Q3 2022 (Actual)</w:t>
            </w:r>
          </w:p>
        </w:tc>
        <w:tc>
          <w:tcPr/>
          <w:p>
            <w:pPr>
              <w:pStyle w:val="Compact"/>
              <w:jc w:val="left"/>
            </w:pPr>
            <w:r>
              <w:t xml:space="preserve">YoY Change</w:t>
            </w:r>
          </w:p>
        </w:tc>
      </w:tr>
      <w:tr>
        <w:tc>
          <w:tcPr/>
          <w:p>
            <w:pPr>
              <w:pStyle w:val="Compact"/>
              <w:jc w:val="left"/>
            </w:pPr>
            <w:r>
              <w:t xml:space="preserve">New Commercial Client Acquisitions</w:t>
            </w:r>
          </w:p>
        </w:tc>
        <w:tc>
          <w:tcPr/>
          <w:p>
            <w:pPr>
              <w:pStyle w:val="Compact"/>
              <w:jc w:val="left"/>
            </w:pPr>
            <w:r>
              <w:t xml:space="preserve">47</w:t>
            </w:r>
          </w:p>
        </w:tc>
        <w:tc>
          <w:tcPr/>
          <w:p>
            <w:pPr>
              <w:pStyle w:val="Compact"/>
              <w:jc w:val="left"/>
            </w:pPr>
            <w:r>
              <w:t xml:space="preserve">38</w:t>
            </w:r>
          </w:p>
        </w:tc>
        <w:tc>
          <w:tcPr/>
          <w:p>
            <w:pPr>
              <w:pStyle w:val="Compact"/>
              <w:jc w:val="left"/>
            </w:pPr>
            <w:r>
              <w:t xml:space="preserve">+23.7%</w:t>
            </w:r>
          </w:p>
        </w:tc>
      </w:tr>
      <w:tr>
        <w:tc>
          <w:tcPr/>
          <w:p>
            <w:pPr>
              <w:pStyle w:val="Compact"/>
              <w:jc w:val="left"/>
            </w:pPr>
            <w:r>
              <w:t xml:space="preserve">High-Net-Worth (HNW) Account Growth</w:t>
            </w:r>
          </w:p>
        </w:tc>
        <w:tc>
          <w:tcPr/>
          <w:p>
            <w:pPr>
              <w:pStyle w:val="Compact"/>
              <w:jc w:val="left"/>
            </w:pPr>
            <w:r>
              <w:t xml:space="preserve">$128M AUM</w:t>
            </w:r>
          </w:p>
        </w:tc>
        <w:tc>
          <w:tcPr/>
          <w:p>
            <w:pPr>
              <w:pStyle w:val="Compact"/>
              <w:jc w:val="left"/>
            </w:pPr>
            <w:r>
              <w:t xml:space="preserve">$97M AUM</w:t>
            </w:r>
          </w:p>
        </w:tc>
        <w:tc>
          <w:tcPr/>
          <w:p>
            <w:pPr>
              <w:pStyle w:val="Compact"/>
              <w:jc w:val="left"/>
            </w:pPr>
            <w:r>
              <w:t xml:space="preserve">+31.9%</w:t>
            </w:r>
          </w:p>
        </w:tc>
      </w:tr>
      <w:tr>
        <w:tc>
          <w:tcPr/>
          <w:p>
            <w:pPr>
              <w:pStyle w:val="Compact"/>
              <w:jc w:val="left"/>
            </w:pPr>
            <w:r>
              <w:t xml:space="preserve">Commercial Loan Originations</w:t>
            </w:r>
          </w:p>
        </w:tc>
        <w:tc>
          <w:tcPr/>
          <w:p>
            <w:pPr>
              <w:pStyle w:val="Compact"/>
              <w:jc w:val="left"/>
            </w:pPr>
            <w:r>
              <w:t xml:space="preserve">$215M</w:t>
            </w:r>
          </w:p>
        </w:tc>
        <w:tc>
          <w:tcPr/>
          <w:p>
            <w:pPr>
              <w:pStyle w:val="Compact"/>
              <w:jc w:val="left"/>
            </w:pPr>
            <w:r>
              <w:t xml:space="preserve">$168M</w:t>
            </w:r>
          </w:p>
        </w:tc>
        <w:tc>
          <w:tcPr/>
          <w:p>
            <w:pPr>
              <w:pStyle w:val="Compact"/>
              <w:jc w:val="left"/>
            </w:pPr>
            <w:r>
              <w:t xml:space="preserve">+27.9%</w:t>
            </w:r>
          </w:p>
        </w:tc>
      </w:tr>
      <w:tr>
        <w:tc>
          <w:tcPr/>
          <w:p>
            <w:pPr>
              <w:pStyle w:val="Compact"/>
              <w:jc w:val="left"/>
            </w:pPr>
            <w:r>
              <w:t xml:space="preserve">Client Retention Rate (Premium Segment)</w:t>
            </w:r>
          </w:p>
        </w:tc>
        <w:tc>
          <w:tcPr/>
          <w:p>
            <w:pPr>
              <w:pStyle w:val="Compact"/>
              <w:jc w:val="left"/>
            </w:pPr>
            <w:r>
              <w:t xml:space="preserve">94.3%</w:t>
            </w:r>
          </w:p>
        </w:tc>
        <w:tc>
          <w:tcPr/>
          <w:p>
            <w:pPr>
              <w:pStyle w:val="Compact"/>
              <w:jc w:val="left"/>
            </w:pPr>
            <w:r>
              <w:t xml:space="preserve">89.1%</w:t>
            </w:r>
          </w:p>
        </w:tc>
        <w:tc>
          <w:tcPr/>
          <w:p>
            <w:pPr>
              <w:pStyle w:val="Compact"/>
              <w:jc w:val="left"/>
            </w:pPr>
            <w:r>
              <w:t xml:space="preserve">+5.2 pp</w:t>
            </w:r>
          </w:p>
        </w:tc>
      </w:tr>
    </w:tbl>
    <w:p>
      <w:pPr>
        <w:pStyle w:val="BodyText"/>
      </w:pPr>
      <w:r>
        <w:t xml:space="preserve">The United States San Francisco market demonstrated exceptional resilience, with our Banker team driving 34% of all regional commercial banking growth in the Bay Area. Notably, technology sector clients contributed 68% of new commercial loans—evidence of our specialized expertise in serving the innovation economy that defines United States San Francisco.</w:t>
      </w:r>
    </w:p>
    <w:bookmarkEnd w:id="21"/>
    <w:bookmarkStart w:id="22" w:name="X393beb5ca0a491abd8871570335fe0170df981a"/>
    <w:p>
      <w:pPr>
        <w:pStyle w:val="Heading2"/>
      </w:pPr>
      <w:r>
        <w:t xml:space="preserve">III. Market Analysis: United States San Francisco Dynamics</w:t>
      </w:r>
    </w:p>
    <w:p>
      <w:pPr>
        <w:pStyle w:val="FirstParagraph"/>
      </w:pPr>
      <w:r>
        <w:t xml:space="preserve">San Francisco's unique financial ecosystem demands tailored banking solutions. As a Banker operating within this environment, we recognize three critical market drivers:</w:t>
      </w:r>
    </w:p>
    <w:p>
      <w:pPr>
        <w:numPr>
          <w:ilvl w:val="0"/>
          <w:numId w:val="1001"/>
        </w:numPr>
        <w:pStyle w:val="Compact"/>
      </w:pPr>
      <w:r>
        <w:rPr>
          <w:bCs/>
          <w:b/>
        </w:rPr>
        <w:t xml:space="preserve">Tech Sector Dominance:</w:t>
      </w:r>
      <w:r>
        <w:t xml:space="preserve"> </w:t>
      </w:r>
      <w:r>
        <w:t xml:space="preserve">42% of our new clients hailed from AI, fintech, and biotech firms—demanding flexible credit structures and global payment solutions.</w:t>
      </w:r>
    </w:p>
    <w:p>
      <w:pPr>
        <w:numPr>
          <w:ilvl w:val="0"/>
          <w:numId w:val="1001"/>
        </w:numPr>
        <w:pStyle w:val="Compact"/>
      </w:pPr>
      <w:r>
        <w:rPr>
          <w:bCs/>
          <w:b/>
        </w:rPr>
        <w:t xml:space="preserve">Real Estate Market Shifts:</w:t>
      </w:r>
      <w:r>
        <w:t xml:space="preserve"> </w:t>
      </w:r>
      <w:r>
        <w:t xml:space="preserve">Despite a 12% YoY decline in commercial real estate transactions, our Banker team successfully secured $89M in adaptive financing for mixed-use development projects.</w:t>
      </w:r>
    </w:p>
    <w:p>
      <w:pPr>
        <w:numPr>
          <w:ilvl w:val="0"/>
          <w:numId w:val="1001"/>
        </w:numPr>
        <w:pStyle w:val="Compact"/>
      </w:pPr>
      <w:r>
        <w:rPr>
          <w:bCs/>
          <w:b/>
        </w:rPr>
        <w:t xml:space="preserve">Economic Diversification:</w:t>
      </w:r>
      <w:r>
        <w:t xml:space="preserve"> </w:t>
      </w:r>
      <w:r>
        <w:t xml:space="preserve">The rise of climate tech and healthcare innovation created new sales opportunities, with 27% of HNW clients expanding portfolios beyond traditional tech holdings.</w:t>
      </w:r>
    </w:p>
    <w:p>
      <w:pPr>
        <w:pStyle w:val="FirstParagraph"/>
      </w:pPr>
      <w:r>
        <w:t xml:space="preserve">This nuanced understanding enabled our Banker professionals to position specialized products like "Venture Growth Capital" lines (36% adoption rate) and "San Francisco Sustainability Loans" (19 new clients), directly addressing regional economic priorities.</w:t>
      </w:r>
    </w:p>
    <w:bookmarkEnd w:id="22"/>
    <w:bookmarkStart w:id="26" w:name="X47c1f5b4bffe751ee3ae4c3b1220582ab1d30ef"/>
    <w:p>
      <w:pPr>
        <w:pStyle w:val="Heading2"/>
      </w:pPr>
      <w:r>
        <w:t xml:space="preserve">IV. Strategic Sales Initiatives Driving Results</w:t>
      </w:r>
    </w:p>
    <w:p>
      <w:pPr>
        <w:pStyle w:val="FirstParagraph"/>
      </w:pPr>
      <w:r>
        <w:t xml:space="preserve">Our success stems from three pillar strategies implemented across the United States San Francisco branch:</w:t>
      </w:r>
    </w:p>
    <w:bookmarkStart w:id="23" w:name="a.-hyper-localized-client-engagement"/>
    <w:p>
      <w:pPr>
        <w:pStyle w:val="Heading3"/>
      </w:pPr>
      <w:r>
        <w:t xml:space="preserve">A. Hyper-Localized Client Engagement</w:t>
      </w:r>
    </w:p>
    <w:p>
      <w:pPr>
        <w:pStyle w:val="FirstParagraph"/>
      </w:pPr>
      <w:r>
        <w:t xml:space="preserve">The Banker team deployed neighborhood-specific outreach programs, including monthly "Market Pulse" roundtables at SOMA tech hubs and Marina District executive forums. This localized approach generated 41% of new commercial leads, with 78% converting to active accounts—significantly above the national average of 62%.</w:t>
      </w:r>
    </w:p>
    <w:bookmarkEnd w:id="23"/>
    <w:bookmarkStart w:id="24" w:name="X29a62f6d0f0c55c38e0856eddac64a0b3ec28f0"/>
    <w:p>
      <w:pPr>
        <w:pStyle w:val="Heading3"/>
      </w:pPr>
      <w:r>
        <w:t xml:space="preserve">B. Technology-Enabled Banking Relationships</w:t>
      </w:r>
    </w:p>
    <w:p>
      <w:pPr>
        <w:pStyle w:val="FirstParagraph"/>
      </w:pPr>
      <w:r>
        <w:t xml:space="preserve">We integrated AI-driven client analytics into our sales workflow, allowing Banker professionals to predict cross-sell opportunities with 89% accuracy. The "San Francisco Client Intelligence Dashboard" identified $47M in untapped revenue potential from existing relationships within 90 days of deployment.</w:t>
      </w:r>
    </w:p>
    <w:bookmarkEnd w:id="24"/>
    <w:bookmarkStart w:id="25" w:name="c.-regulatory-navigation-expertise"/>
    <w:p>
      <w:pPr>
        <w:pStyle w:val="Heading3"/>
      </w:pPr>
      <w:r>
        <w:t xml:space="preserve">C. Regulatory Navigation Expertise</w:t>
      </w:r>
    </w:p>
    <w:p>
      <w:pPr>
        <w:pStyle w:val="FirstParagraph"/>
      </w:pPr>
      <w:r>
        <w:t xml:space="preserve">As a Banker operating in California's complex financial landscape, our team achieved 100% compliance across state and federal regulations while streamlining onboarding. This reduced client acquisition timelines by 22 days—critical for tech startups requiring rapid capital access in United States San Francisco.</w:t>
      </w:r>
    </w:p>
    <w:bookmarkEnd w:id="25"/>
    <w:bookmarkEnd w:id="26"/>
    <w:bookmarkStart w:id="27" w:name="v.-challenges-adaptive-solutions"/>
    <w:p>
      <w:pPr>
        <w:pStyle w:val="Heading2"/>
      </w:pPr>
      <w:r>
        <w:t xml:space="preserve">V. Challenges &amp; Adaptive Solutions</w:t>
      </w:r>
    </w:p>
    <w:p>
      <w:pPr>
        <w:pStyle w:val="FirstParagraph"/>
      </w:pPr>
      <w:r>
        <w:t xml:space="preserve">Market volatility presented two significant challenges:</w:t>
      </w:r>
    </w:p>
    <w:p>
      <w:pPr>
        <w:numPr>
          <w:ilvl w:val="0"/>
          <w:numId w:val="1002"/>
        </w:numPr>
        <w:pStyle w:val="Compact"/>
      </w:pPr>
      <w:r>
        <w:rPr>
          <w:bCs/>
          <w:b/>
        </w:rPr>
        <w:t xml:space="preserve">Interest Rate Sensitivity:</w:t>
      </w:r>
      <w:r>
        <w:t xml:space="preserve"> </w:t>
      </w:r>
      <w:r>
        <w:t xml:space="preserve">Rising rates caused 15% of target clients to delay financing decisions. Our Banker team countered with "Rate Lock" product bundles, converting 68% of stalled deals within 30 days.</w:t>
      </w:r>
    </w:p>
    <w:p>
      <w:pPr>
        <w:numPr>
          <w:ilvl w:val="0"/>
          <w:numId w:val="1002"/>
        </w:numPr>
        <w:pStyle w:val="Compact"/>
      </w:pPr>
      <w:r>
        <w:rPr>
          <w:bCs/>
          <w:b/>
        </w:rPr>
        <w:t xml:space="preserve">Competitive Pressure:</w:t>
      </w:r>
      <w:r>
        <w:t xml:space="preserve"> </w:t>
      </w:r>
      <w:r>
        <w:t xml:space="preserve">Three new fintech entrants targeted our core client segments. We responded by enhancing our "San Francisco Partnership Program," offering waived fees for first-year relationships—resulting in a 22% market share gain among startups.</w:t>
      </w:r>
    </w:p>
    <w:bookmarkEnd w:id="27"/>
    <w:bookmarkStart w:id="28" w:name="X82db1e84420a518478be51154f964a86758531f"/>
    <w:p>
      <w:pPr>
        <w:pStyle w:val="Heading2"/>
      </w:pPr>
      <w:r>
        <w:t xml:space="preserve">VI. Future Growth Trajectory: United States San Francisco Focus</w:t>
      </w:r>
    </w:p>
    <w:p>
      <w:pPr>
        <w:pStyle w:val="FirstParagraph"/>
      </w:pPr>
      <w:r>
        <w:t xml:space="preserve">Based on Q3 performance, our Sales Report projects sustained growth through targeted initiatives:</w:t>
      </w:r>
    </w:p>
    <w:p>
      <w:pPr>
        <w:numPr>
          <w:ilvl w:val="0"/>
          <w:numId w:val="1003"/>
        </w:numPr>
        <w:pStyle w:val="Compact"/>
      </w:pPr>
      <w:r>
        <w:rPr>
          <w:bCs/>
          <w:b/>
        </w:rPr>
        <w:t xml:space="preserve">Climate Tech Expansion:</w:t>
      </w:r>
      <w:r>
        <w:t xml:space="preserve"> </w:t>
      </w:r>
      <w:r>
        <w:t xml:space="preserve">Allocate $50M dedicated capital for green infrastructure loans—addressing the 47% of San Francisco enterprises actively seeking ESG-aligned financing.</w:t>
      </w:r>
    </w:p>
    <w:p>
      <w:pPr>
        <w:numPr>
          <w:ilvl w:val="0"/>
          <w:numId w:val="1003"/>
        </w:numPr>
        <w:pStyle w:val="Compact"/>
      </w:pPr>
      <w:r>
        <w:rPr>
          <w:bCs/>
          <w:b/>
        </w:rPr>
        <w:t xml:space="preserve">Client Tiering Strategy:</w:t>
      </w:r>
      <w:r>
        <w:t xml:space="preserve"> </w:t>
      </w:r>
      <w:r>
        <w:t xml:space="preserve">Implement tiered service levels (Elite, Premier, Growth) to optimize resource allocation across 12,850 active United States San Francisco accounts.</w:t>
      </w:r>
    </w:p>
    <w:p>
      <w:pPr>
        <w:numPr>
          <w:ilvl w:val="0"/>
          <w:numId w:val="1003"/>
        </w:numPr>
        <w:pStyle w:val="Compact"/>
      </w:pPr>
      <w:r>
        <w:rPr>
          <w:bCs/>
          <w:b/>
        </w:rPr>
        <w:t xml:space="preserve">Talent Development:</w:t>
      </w:r>
      <w:r>
        <w:t xml:space="preserve"> </w:t>
      </w:r>
      <w:r>
        <w:t xml:space="preserve">Launch "San Francisco Banking Accelerator" for Banker professionals—certifying specialists in regional sectors (fintech, biotech, real estate) by Q2 2024.</w:t>
      </w:r>
    </w:p>
    <w:bookmarkEnd w:id="28"/>
    <w:bookmarkStart w:id="29" w:name="X4055ce81dc526f1c55459a45f753d9b80292b26"/>
    <w:p>
      <w:pPr>
        <w:pStyle w:val="Heading2"/>
      </w:pPr>
      <w:r>
        <w:t xml:space="preserve">VII. Conclusion: The Banker Advantage in United States San Francisco</w:t>
      </w:r>
    </w:p>
    <w:p>
      <w:pPr>
        <w:pStyle w:val="FirstParagraph"/>
      </w:pPr>
      <w:r>
        <w:t xml:space="preserve">This Sales Report affirms that our Banker team has mastered the unique complexities of the United States San Francisco market. By embedding hyper-local market intelligence into every sales interaction, we've transformed client relationships from transactional to strategic partnerships. Our Q3 results demonstrate a clear formula: deep regional understanding + agile product innovation + relationship-centric service = sustainable growth in America's most demanding banking environment.</w:t>
      </w:r>
    </w:p>
    <w:p>
      <w:pPr>
        <w:pStyle w:val="BodyText"/>
      </w:pPr>
      <w:r>
        <w:t xml:space="preserve">As we move into 2024, our commitment remains unwavering: to be the Banker of choice for innovators shaping the future of United States San Francisco. The data is clear—when banking professionals speak the language of this city's economy, they don't just meet targets; they set them.</w:t>
      </w:r>
    </w:p>
    <w:p>
      <w:pPr>
        <w:pStyle w:val="BodyText"/>
      </w:pPr>
      <w:r>
        <w:rPr>
          <w:bCs/>
          <w:b/>
        </w:rPr>
        <w:t xml:space="preserve">Prepared by:</w:t>
      </w:r>
      <w:r>
        <w:t xml:space="preserve"> </w:t>
      </w:r>
      <w:r>
        <w:t xml:space="preserve">Regional Sales Strategy Department</w:t>
      </w:r>
      <w:r>
        <w:br/>
      </w:r>
      <w:r>
        <w:rPr>
          <w:bCs/>
          <w:b/>
        </w:rPr>
        <w:t xml:space="preserve">Contact:</w:t>
      </w:r>
      <w:r>
        <w:t xml:space="preserve"> </w:t>
      </w:r>
      <w:r>
        <w:t xml:space="preserve">salesstrategy.sf@bankingfirm.com</w:t>
      </w:r>
      <w:r>
        <w:br/>
      </w:r>
      <w:r>
        <w:rPr>
          <w:bCs/>
          <w:b/>
        </w:rPr>
        <w:t xml:space="preserve">Confidentiality Notice:</w:t>
      </w:r>
      <w:r>
        <w:t xml:space="preserve"> </w:t>
      </w:r>
      <w:r>
        <w:t xml:space="preserve">This Sales Report contains proprietary market intelligence for internal use only. Distribution requires executive authorization.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Sales Report: United States San Francisco Market Performance</dc:title>
  <dc:creator/>
  <dc:language>en</dc:language>
  <cp:keywords/>
  <dcterms:created xsi:type="dcterms:W3CDTF">2026-07-24T07:43:32Z</dcterms:created>
  <dcterms:modified xsi:type="dcterms:W3CDTF">2026-07-24T07:43:32Z</dcterms:modified>
</cp:coreProperties>
</file>

<file path=docProps/custom.xml><?xml version="1.0" encoding="utf-8"?>
<Properties xmlns="http://schemas.openxmlformats.org/officeDocument/2006/custom-properties" xmlns:vt="http://schemas.openxmlformats.org/officeDocument/2006/docPropsVTypes"/>
</file>