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Uzbekistan</w:t>
      </w:r>
      <w:r>
        <w:t xml:space="preserve"> </w:t>
      </w:r>
      <w:r>
        <w:t xml:space="preserve">Tashkent</w:t>
      </w:r>
      <w:r>
        <w:t xml:space="preserve"> </w:t>
      </w:r>
      <w:r>
        <w:t xml:space="preserve">Sales</w:t>
      </w:r>
      <w:r>
        <w:t xml:space="preserve"> </w:t>
      </w:r>
      <w:r>
        <w:t xml:space="preserve">Report</w:t>
      </w:r>
      <w:r>
        <w:t xml:space="preserve"> </w:t>
      </w:r>
      <w:r>
        <w:t xml:space="preserve">-</w:t>
      </w:r>
      <w:r>
        <w:t xml:space="preserve"> </w:t>
      </w:r>
      <w:r>
        <w:t xml:space="preserve">Banking</w:t>
      </w:r>
      <w:r>
        <w:t xml:space="preserve"> </w:t>
      </w:r>
      <w:r>
        <w:t xml:space="preserve">Sector</w:t>
      </w:r>
    </w:p>
    <w:bookmarkStart w:id="29" w:name="X2537ed6cb1372ef6bed52cab2edf88b5a88c7a5"/>
    <w:p>
      <w:pPr>
        <w:pStyle w:val="Heading1"/>
      </w:pPr>
      <w:r>
        <w:t xml:space="preserve">Sales Performance Report: Banking Operations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Management Team - Tashkent Banking Division</w:t>
      </w:r>
    </w:p>
    <w:bookmarkStart w:id="20" w:name="i.-executive-summary"/>
    <w:p>
      <w:pPr>
        <w:pStyle w:val="Heading2"/>
      </w:pPr>
      <w:r>
        <w:t xml:space="preserve">I. Executive Summary</w:t>
      </w:r>
    </w:p>
    <w:p>
      <w:pPr>
        <w:pStyle w:val="FirstParagraph"/>
      </w:pPr>
      <w:r>
        <w:t xml:space="preserve">This comprehensive Sales Report details the performance metrics, market dynamics, and strategic initiatives implemented by our banking operations in Uzbekistan Tashkent during Q3 2023. As the financial hub of Uzbekistan, Tashkent represents 45% of national banking transactions and serves as a critical growth engine for our regional expansion strategy. The report underscores a 18.7% year-over-year increase in sales volume, driven by targeted customer acquisition programs and digital transformation initiatives led by our dedicated Banker teams across the city.</w:t>
      </w:r>
    </w:p>
    <w:bookmarkEnd w:id="20"/>
    <w:bookmarkStart w:id="21" w:name="X200bf6960048c0af8cc6171ae1ec51e0e00c1b8"/>
    <w:p>
      <w:pPr>
        <w:pStyle w:val="Heading2"/>
      </w:pPr>
      <w:r>
        <w:t xml:space="preserve">II. Market Context: Uzbekistan Tashkent Banking Landscape</w:t>
      </w:r>
    </w:p>
    <w:p>
      <w:pPr>
        <w:pStyle w:val="FirstParagraph"/>
      </w:pPr>
      <w:r>
        <w:t xml:space="preserve">Tashkent, as the economic capital of Uzbekistan, hosts over 50 licensed commercial banks with 1,200+ branches. The National Bank of Uzbekistan's recent regulatory reforms (Decree No. 978) have accelerated digital banking adoption, creating unprecedented opportunities for innovative Sales approaches. Our Banker teams have leveraged this environment through:</w:t>
      </w:r>
    </w:p>
    <w:p>
      <w:pPr>
        <w:numPr>
          <w:ilvl w:val="0"/>
          <w:numId w:val="1001"/>
        </w:numPr>
        <w:pStyle w:val="Compact"/>
      </w:pPr>
      <w:r>
        <w:t xml:space="preserve">Strategic partnerships with Tashkent's top 3 commercial centers (Tashkent City Center, Alisher Navoiy Avenue, and Chilonzor District)</w:t>
      </w:r>
    </w:p>
    <w:p>
      <w:pPr>
        <w:numPr>
          <w:ilvl w:val="0"/>
          <w:numId w:val="1001"/>
        </w:numPr>
        <w:pStyle w:val="Compact"/>
      </w:pPr>
      <w:r>
        <w:t xml:space="preserve">Localized product development for Uzbekistan's SME sector (accounting for 68% of Tashkent's commercial banking revenue)</w:t>
      </w:r>
    </w:p>
    <w:p>
      <w:pPr>
        <w:numPr>
          <w:ilvl w:val="0"/>
          <w:numId w:val="1001"/>
        </w:numPr>
        <w:pStyle w:val="Compact"/>
      </w:pPr>
      <w:r>
        <w:t xml:space="preserve">Integration with Uzbekistan's national digital infrastructure (e.g., "E-Daftar" government platform and "MobiCash" mobile ecosystem)</w:t>
      </w:r>
    </w:p>
    <w:p>
      <w:pPr>
        <w:pStyle w:val="FirstParagraph"/>
      </w:pPr>
      <w:r>
        <w:t xml:space="preserve">The city's growing middle class (2.1 million residents) has fueled demand for retail banking services, making Tashkent a priority market for our sales strategy across Uzbekistan.</w:t>
      </w:r>
    </w:p>
    <w:bookmarkEnd w:id="21"/>
    <w:bookmarkStart w:id="24" w:name="iii.-q3-2023-sales-performance-analysis"/>
    <w:p>
      <w:pPr>
        <w:pStyle w:val="Heading2"/>
      </w:pPr>
      <w:r>
        <w:t xml:space="preserve">III. Q3 2023 Sales Performance Analysis</w:t>
      </w:r>
    </w:p>
    <w:bookmarkStart w:id="22" w:name="a.-key-metrics-achievement"/>
    <w:p>
      <w:pPr>
        <w:pStyle w:val="Heading3"/>
      </w:pPr>
      <w:r>
        <w:t xml:space="preserve">A. Key Metrics Achievement</w:t>
      </w:r>
    </w:p>
    <w:p>
      <w:pPr>
        <w:pStyle w:val="FirstParagraph"/>
      </w:pPr>
      <w:r>
        <w:t xml:space="preserve">KPI</w:t>
      </w:r>
    </w:p>
    <w:p>
      <w:pPr>
        <w:pStyle w:val="BodyText"/>
      </w:pPr>
      <w:r>
        <w:t xml:space="preserve">Q3 2023 (Tashkent)</w:t>
      </w:r>
    </w:p>
    <w:p>
      <w:pPr>
        <w:pStyle w:val="BodyText"/>
      </w:pPr>
      <w:r>
        <w:t xml:space="preserve">Q2 2023</w:t>
      </w:r>
    </w:p>
    <w:p>
      <w:pPr>
        <w:pStyle w:val="BodyText"/>
      </w:pPr>
      <w:r>
        <w:t xml:space="preserve">YoY Change</w:t>
      </w:r>
    </w:p>
    <w:p>
      <w:pPr>
        <w:pStyle w:val="BodyText"/>
      </w:pPr>
      <w:r>
        <w:t xml:space="preserve">New Customer Acquisition</w:t>
      </w:r>
    </w:p>
    <w:p>
      <w:pPr>
        <w:pStyle w:val="BodyText"/>
      </w:pPr>
      <w:r>
        <w:t xml:space="preserve">14,850</w:t>
      </w:r>
    </w:p>
    <w:p>
      <w:pPr>
        <w:pStyle w:val="BodyText"/>
      </w:pPr>
      <w:r>
        <w:t xml:space="preserve">11,200</w:t>
      </w:r>
    </w:p>
    <w:p>
      <w:pPr>
        <w:pStyle w:val="BodyText"/>
      </w:pPr>
      <w:r>
        <w:t xml:space="preserve">+32.6%</w:t>
      </w:r>
    </w:p>
    <w:p>
      <w:pPr>
        <w:pStyle w:val="BodyText"/>
      </w:pPr>
      <w:r>
        <w:t xml:space="preserve">Asset Under Management (AUM)</w:t>
      </w:r>
    </w:p>
    <w:p>
      <w:pPr>
        <w:pStyle w:val="BodyText"/>
      </w:pPr>
      <w:r>
        <w:t xml:space="preserve">$847.3M</w:t>
      </w:r>
    </w:p>
    <w:p>
      <w:pPr>
        <w:pStyle w:val="BodyText"/>
      </w:pPr>
      <w:r>
        <w:t xml:space="preserve">&lt;</w:t>
      </w:r>
    </w:p>
    <w:p>
      <w:pPr>
        <w:pStyle w:val="BodyText"/>
      </w:pPr>
      <w:r>
        <w:t xml:space="preserve">$752.6M</w:t>
      </w:r>
    </w:p>
    <w:p>
      <w:pPr>
        <w:pStyle w:val="BodyText"/>
      </w:pPr>
      <w:r>
        <w:t xml:space="preserve">+12.6%</w:t>
      </w:r>
    </w:p>
    <w:p>
      <w:pPr>
        <w:pStyle w:val="BodyText"/>
      </w:pPr>
      <w:r>
        <w:t xml:space="preserve">SME Loan Portfolio Growth</w:t>
      </w:r>
    </w:p>
    <w:p>
      <w:pPr>
        <w:pStyle w:val="BodyText"/>
      </w:pPr>
      <w:r>
        <w:t xml:space="preserve">28% YoY</w:t>
      </w:r>
    </w:p>
    <w:p>
      <w:pPr>
        <w:pStyle w:val="BodyText"/>
      </w:pPr>
      <w:r>
        <w:t xml:space="preserve">19% YoY</w:t>
      </w:r>
    </w:p>
    <w:p>
      <w:pPr>
        <w:pStyle w:val="BodyText"/>
      </w:pPr>
      <w:r>
        <w:t xml:space="preserve">Digital Channel Adoption Rate(Mobile App/Online Banking)</w:t>
      </w:r>
    </w:p>
    <w:p>
      <w:pPr>
        <w:pStyle w:val="BodyText"/>
      </w:pPr>
      <w:r>
        <w:t xml:space="preserve">&lt; td&gt;76%</w:t>
      </w:r>
    </w:p>
    <w:p>
      <w:pPr>
        <w:pStyle w:val="BodyText"/>
      </w:pPr>
      <w:r>
        <w:t xml:space="preserve">63%</w:t>
      </w:r>
    </w:p>
    <w:p>
      <w:pPr>
        <w:pStyle w:val="BodyText"/>
      </w:pPr>
      <w:r>
        <w:t xml:space="preserve">+13pp</w:t>
      </w:r>
    </w:p>
    <w:bookmarkEnd w:id="22"/>
    <w:bookmarkStart w:id="23" w:name="X734cb76d00b68b35d25248d5bceaf1538085dc3"/>
    <w:p>
      <w:pPr>
        <w:pStyle w:val="Heading3"/>
      </w:pPr>
      <w:r>
        <w:t xml:space="preserve">B. Sales Driver Analysis: The Banker Advantage</w:t>
      </w:r>
    </w:p>
    <w:p>
      <w:pPr>
        <w:pStyle w:val="FirstParagraph"/>
      </w:pPr>
      <w:r>
        <w:t xml:space="preserve">Our Tashkent Banker teams executed a hyper-localized sales strategy that directly contributed to market outperformance:</w:t>
      </w:r>
    </w:p>
    <w:p>
      <w:pPr>
        <w:numPr>
          <w:ilvl w:val="0"/>
          <w:numId w:val="1002"/>
        </w:numPr>
        <w:pStyle w:val="Compact"/>
      </w:pPr>
      <w:r>
        <w:rPr>
          <w:bCs/>
          <w:b/>
        </w:rPr>
        <w:t xml:space="preserve">Community Banking Model:</w:t>
      </w:r>
      <w:r>
        <w:t xml:space="preserve"> </w:t>
      </w:r>
      <w:r>
        <w:t xml:space="preserve">120+ dedicated Bankers now operate in neighborhood branches across Tashkent, conducting weekly financial literacy sessions at local mosques and community centers – resulting in a 37% higher referral rate from trusted community leaders.</w:t>
      </w:r>
    </w:p>
    <w:p>
      <w:pPr>
        <w:numPr>
          <w:ilvl w:val="0"/>
          <w:numId w:val="1002"/>
        </w:numPr>
        <w:pStyle w:val="Compact"/>
      </w:pPr>
      <w:r>
        <w:rPr>
          <w:bCs/>
          <w:b/>
        </w:rPr>
        <w:t xml:space="preserve">SME Specialization:</w:t>
      </w:r>
      <w:r>
        <w:t xml:space="preserve"> </w:t>
      </w:r>
      <w:r>
        <w:t xml:space="preserve">Bankers trained on Uzbekistan's agricultural export regulations (major Tashkent economic sector) secured $142M in trade finance deals with cotton and textile exporters – representing 38% of all SME loan disbursements in Q3.</w:t>
      </w:r>
    </w:p>
    <w:p>
      <w:pPr>
        <w:numPr>
          <w:ilvl w:val="0"/>
          <w:numId w:val="1002"/>
        </w:numPr>
        <w:pStyle w:val="Compact"/>
      </w:pPr>
      <w:r>
        <w:rPr>
          <w:bCs/>
          <w:b/>
        </w:rPr>
        <w:t xml:space="preserve">Digital Sales Enablement:</w:t>
      </w:r>
      <w:r>
        <w:t xml:space="preserve"> </w:t>
      </w:r>
      <w:r>
        <w:t xml:space="preserve">Bankers utilized our new "Tashkent Sales Navigator" mobile app to track client interactions, generating 220+ qualified leads weekly through AI-driven customer segmentation based on Uzbekistan's National ID data patterns.</w:t>
      </w:r>
    </w:p>
    <w:bookmarkEnd w:id="23"/>
    <w:bookmarkEnd w:id="24"/>
    <w:bookmarkStart w:id="25" w:name="Xedc7097f46e88d03324e3724e53b6c6615685d1"/>
    <w:p>
      <w:pPr>
        <w:pStyle w:val="Heading2"/>
      </w:pPr>
      <w:r>
        <w:t xml:space="preserve">IV. Strategic Initiatives Driving Success</w:t>
      </w:r>
    </w:p>
    <w:p>
      <w:pPr>
        <w:pStyle w:val="FirstParagraph"/>
      </w:pPr>
      <w:r>
        <w:t xml:space="preserve">In response to market dynamics in Uzbekistan Tashkent, we implemented three pivotal initiatives that elevated Banker effectiveness:</w:t>
      </w:r>
    </w:p>
    <w:p>
      <w:pPr>
        <w:numPr>
          <w:ilvl w:val="0"/>
          <w:numId w:val="1003"/>
        </w:numPr>
        <w:pStyle w:val="Compact"/>
      </w:pPr>
      <w:r>
        <w:rPr>
          <w:bCs/>
          <w:b/>
        </w:rPr>
        <w:t xml:space="preserve">UzCurrency Integration:</w:t>
      </w:r>
      <w:r>
        <w:t xml:space="preserve"> </w:t>
      </w:r>
      <w:r>
        <w:t xml:space="preserve">Collaborated with Uzbekistan's Central Bank to develop a real-time currency conversion tool for Tashkent-based exporters. This initiative reduced transaction processing time by 68% and directly contributed to $45M in new foreign exchange sales.</w:t>
      </w:r>
    </w:p>
    <w:p>
      <w:pPr>
        <w:numPr>
          <w:ilvl w:val="0"/>
          <w:numId w:val="1003"/>
        </w:numPr>
        <w:pStyle w:val="Compact"/>
      </w:pPr>
      <w:r>
        <w:rPr>
          <w:bCs/>
          <w:b/>
        </w:rPr>
        <w:t xml:space="preserve">Tashkent Loyalty Program:</w:t>
      </w:r>
      <w:r>
        <w:t xml:space="preserve"> </w:t>
      </w:r>
      <w:r>
        <w:t xml:space="preserve">Launched "Sug'urta 2023" (Insurance 2023), bundling life insurance with retail banking products. Tashkent Bankers achieved 94% cross-sell success rate by tailoring coverage to local customs (e.g., marriage/family event insurance packages).</w:t>
      </w:r>
    </w:p>
    <w:p>
      <w:pPr>
        <w:numPr>
          <w:ilvl w:val="0"/>
          <w:numId w:val="1003"/>
        </w:numPr>
        <w:pStyle w:val="Compact"/>
      </w:pPr>
      <w:r>
        <w:rPr>
          <w:bCs/>
          <w:b/>
        </w:rPr>
        <w:t xml:space="preserve">Regulatory Compliance Acceleration:</w:t>
      </w:r>
      <w:r>
        <w:t xml:space="preserve"> </w:t>
      </w:r>
      <w:r>
        <w:t xml:space="preserve">Trained all Bankers on Uzbekistan's new Anti-Money Laundering (AML) framework. This reduced sales cycle time by 25% and eliminated compliance-related deal drop-offs – a critical factor in Tashkent's competitive market.</w:t>
      </w:r>
    </w:p>
    <w:bookmarkEnd w:id="25"/>
    <w:bookmarkStart w:id="26" w:name="v.-challenges-mitigation-strategies"/>
    <w:p>
      <w:pPr>
        <w:pStyle w:val="Heading2"/>
      </w:pPr>
      <w:r>
        <w:t xml:space="preserve">V. Challenges &amp; Mitigation Strategies</w:t>
      </w:r>
    </w:p>
    <w:p>
      <w:pPr>
        <w:pStyle w:val="FirstParagraph"/>
      </w:pPr>
      <w:r>
        <w:t xml:space="preserve">Despite strong results, our Banker teams navigated several Uzbekistan-specific challenges:</w:t>
      </w:r>
    </w:p>
    <w:p>
      <w:pPr>
        <w:numPr>
          <w:ilvl w:val="0"/>
          <w:numId w:val="1004"/>
        </w:numPr>
        <w:pStyle w:val="Compact"/>
      </w:pPr>
      <w:r>
        <w:rPr>
          <w:bCs/>
          <w:b/>
        </w:rPr>
        <w:t xml:space="preserve">Infrastructure Limitations:</w:t>
      </w:r>
      <w:r>
        <w:t xml:space="preserve"> </w:t>
      </w:r>
      <w:r>
        <w:t xml:space="preserve">Power outages in some Tashkent districts disrupted digital sales operations. *Mitigation:* Deployed solar-powered backup systems for all branch sales kiosks and trained Bankers on offline transaction protocols.</w:t>
      </w:r>
    </w:p>
    <w:p>
      <w:pPr>
        <w:numPr>
          <w:ilvl w:val="0"/>
          <w:numId w:val="1004"/>
        </w:numPr>
        <w:pStyle w:val="Compact"/>
      </w:pPr>
      <w:r>
        <w:rPr>
          <w:bCs/>
          <w:b/>
        </w:rPr>
        <w:t xml:space="preserve">Cultural Nuances:</w:t>
      </w:r>
      <w:r>
        <w:t xml:space="preserve"> </w:t>
      </w:r>
      <w:r>
        <w:t xml:space="preserve">Initial resistance to digital banking among older clients. *Mitigation:* Implemented "Banker Buddy" program where younger Tashkent Bankers provided in-person digital literacy training at local markets – increasing mobile banking adoption by 52%.</w:t>
      </w:r>
    </w:p>
    <w:p>
      <w:pPr>
        <w:numPr>
          <w:ilvl w:val="0"/>
          <w:numId w:val="1004"/>
        </w:numPr>
        <w:pStyle w:val="Compact"/>
      </w:pPr>
      <w:r>
        <w:rPr>
          <w:bCs/>
          <w:b/>
        </w:rPr>
        <w:t xml:space="preserve">Competition Pressure:</w:t>
      </w:r>
      <w:r>
        <w:t xml:space="preserve"> </w:t>
      </w:r>
      <w:r>
        <w:t xml:space="preserve">Aggressive pricing from state-owned banks. *Mitigation:* Shifted focus to value-based sales (e.g., "Tashkent Business Advantage Package" including free regulatory compliance support).</w:t>
      </w:r>
    </w:p>
    <w:bookmarkEnd w:id="26"/>
    <w:bookmarkStart w:id="27" w:name="X3e9a61809005e1867c0c27b05e31bef368a6c68"/>
    <w:p>
      <w:pPr>
        <w:pStyle w:val="Heading2"/>
      </w:pPr>
      <w:r>
        <w:t xml:space="preserve">VI. Future Outlook: Banking Growth Roadmap for Uzbekistan Tashkent</w:t>
      </w:r>
    </w:p>
    <w:p>
      <w:pPr>
        <w:pStyle w:val="FirstParagraph"/>
      </w:pPr>
      <w:r>
        <w:t xml:space="preserve">Building on Q3 success, our sales strategy for 2024 focuses on three pillars aligned with Uzbekistan's economic priorities:</w:t>
      </w:r>
    </w:p>
    <w:p>
      <w:pPr>
        <w:numPr>
          <w:ilvl w:val="0"/>
          <w:numId w:val="1005"/>
        </w:numPr>
        <w:pStyle w:val="Compact"/>
      </w:pPr>
      <w:r>
        <w:rPr>
          <w:bCs/>
          <w:b/>
        </w:rPr>
        <w:t xml:space="preserve">Green Banking Expansion:</w:t>
      </w:r>
      <w:r>
        <w:t xml:space="preserve"> </w:t>
      </w:r>
      <w:r>
        <w:t xml:space="preserve">Launching Tashkent's first ESG-linked loans for sustainable cotton farming – targeting $100M in sales by Q2 2024.</w:t>
      </w:r>
    </w:p>
    <w:p>
      <w:pPr>
        <w:numPr>
          <w:ilvl w:val="0"/>
          <w:numId w:val="1005"/>
        </w:numPr>
        <w:pStyle w:val="Compact"/>
      </w:pPr>
      <w:r>
        <w:rPr>
          <w:bCs/>
          <w:b/>
        </w:rPr>
        <w:t xml:space="preserve">Tashkent Digital Corridor:</w:t>
      </w:r>
      <w:r>
        <w:t xml:space="preserve"> </w:t>
      </w:r>
      <w:r>
        <w:t xml:space="preserve">Partnering with Uzbekistan's Ministry of Digital Development to integrate our banking services into Tashkent Smart City IoT platforms, creating new B2B sales channels.</w:t>
      </w:r>
    </w:p>
    <w:p>
      <w:pPr>
        <w:numPr>
          <w:ilvl w:val="0"/>
          <w:numId w:val="1005"/>
        </w:numPr>
        <w:pStyle w:val="Compact"/>
      </w:pPr>
      <w:r>
        <w:rPr>
          <w:bCs/>
          <w:b/>
        </w:rPr>
        <w:t xml:space="preserve">Banker Talent Pipeline:</w:t>
      </w:r>
      <w:r>
        <w:t xml:space="preserve"> </w:t>
      </w:r>
      <w:r>
        <w:t xml:space="preserve">Establishing a "Tashkent Banking Academy" with local universities to train 200+ Uzbek graduates as Bankers annually – addressing the city's 35% banker shortage in commercial banking.</w:t>
      </w:r>
    </w:p>
    <w:p>
      <w:pPr>
        <w:pStyle w:val="FirstParagraph"/>
      </w:pPr>
      <w:r>
        <w:t xml:space="preserve">The Sales Report confirms that our localized approach, executed by highly trained Banker teams across Uzbekistan Tashkent, has positioned us as a market leader in retail and SME banking. With Uzbekistan's economy projected to grow at 5.2% in 2024 (World Bank), the Tashkent division is forecasted to deliver $1.1B in new sales – representing 34% of our total Uzbekistan revenue target for next year.</w:t>
      </w:r>
    </w:p>
    <w:bookmarkEnd w:id="27"/>
    <w:bookmarkStart w:id="28" w:name="vii.-conclusion"/>
    <w:p>
      <w:pPr>
        <w:pStyle w:val="Heading2"/>
      </w:pPr>
      <w:r>
        <w:t xml:space="preserve">VII. Conclusion</w:t>
      </w:r>
    </w:p>
    <w:p>
      <w:pPr>
        <w:pStyle w:val="FirstParagraph"/>
      </w:pPr>
      <w:r>
        <w:t xml:space="preserve">This Sales Report demonstrates that our strategic investment in Tashkent's banking ecosystem, led by skilled Banker professionals operating within Uzbekistan's unique economic framework, has generated exceptional results. The data confirms that hyper-localized sales execution – where each Banker understands the nuances of Tashkent's communities and Uzbekistan's regulatory environment – is the definitive differentiator in our market leadership. As we advance toward our 2025 strategic goals, this Sales Report provides the actionable foundation for continued growth across Uzbekistan Tashkent and beyond.</w:t>
      </w:r>
    </w:p>
    <w:p>
      <w:pPr>
        <w:pStyle w:val="BodyText"/>
      </w:pPr>
      <w:r>
        <w:rPr>
          <w:bCs/>
          <w:b/>
        </w:rPr>
        <w:t xml:space="preserve">Prepared By:</w:t>
      </w:r>
      <w:r>
        <w:t xml:space="preserve"> </w:t>
      </w:r>
      <w:r>
        <w:t xml:space="preserve">Regional Sales Director, Central Asia</w:t>
      </w:r>
      <w:r>
        <w:br/>
      </w:r>
      <w:r>
        <w:rPr>
          <w:bCs/>
          <w:b/>
        </w:rPr>
        <w:t xml:space="preserve">Contact:</w:t>
      </w:r>
      <w:r>
        <w:t xml:space="preserve"> </w:t>
      </w:r>
      <w:r>
        <w:t xml:space="preserve">tashkent.sales@bankingglobal.com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Uzbekistan Tashkent Sales Report - Banking Sector</dc:title>
  <dc:creator/>
  <dc:language>en</dc:language>
  <cp:keywords/>
  <dcterms:created xsi:type="dcterms:W3CDTF">2026-07-24T07:07:14Z</dcterms:created>
  <dcterms:modified xsi:type="dcterms:W3CDTF">2026-07-24T07:07:14Z</dcterms:modified>
</cp:coreProperties>
</file>

<file path=docProps/custom.xml><?xml version="1.0" encoding="utf-8"?>
<Properties xmlns="http://schemas.openxmlformats.org/officeDocument/2006/custom-properties" xmlns:vt="http://schemas.openxmlformats.org/officeDocument/2006/docPropsVTypes"/>
</file>