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Caracas</w:t>
      </w:r>
      <w:r>
        <w:t xml:space="preserve"> </w:t>
      </w:r>
      <w:r>
        <w:t xml:space="preserve">Banking</w:t>
      </w:r>
      <w:r>
        <w:t xml:space="preserve"> </w:t>
      </w:r>
      <w:r>
        <w:t xml:space="preserve">Sales</w:t>
      </w:r>
      <w:r>
        <w:t xml:space="preserve"> </w:t>
      </w:r>
      <w:r>
        <w:t xml:space="preserve">Report:</w:t>
      </w:r>
      <w:r>
        <w:t xml:space="preserve"> </w:t>
      </w:r>
      <w:r>
        <w:t xml:space="preserve">Q3</w:t>
      </w:r>
      <w:r>
        <w:t xml:space="preserve"> </w:t>
      </w:r>
      <w:r>
        <w:t xml:space="preserve">2023</w:t>
      </w:r>
    </w:p>
    <w:bookmarkStart w:id="32" w:name="X1476229820f6c0aab7c11656cdb6cd46ed57b6a"/>
    <w:p>
      <w:pPr>
        <w:pStyle w:val="Heading1"/>
      </w:pPr>
      <w:r>
        <w:t xml:space="preserve">SALES REPORT FOR VENEZUELA CARACAS REGIONAL BANKER</w:t>
      </w:r>
    </w:p>
    <w:bookmarkStart w:id="20" w:name="Xc3eeac6ba7d004921bb1c7621f0d8488f090867"/>
    <w:p>
      <w:pPr>
        <w:pStyle w:val="Heading2"/>
      </w:pPr>
      <w:r>
        <w:t xml:space="preserve">Quarterly Performance Analysis | Q3 2023 | Venezuela Banking Sector</w:t>
      </w:r>
    </w:p>
    <w:p>
      <w:pPr>
        <w:pStyle w:val="FirstParagraph"/>
      </w:pPr>
      <w:r>
        <w:t xml:space="preserve">Prepared for Senior Management - Central Bank of Venezuela Compliance Division</w:t>
      </w:r>
    </w:p>
    <w:bookmarkEnd w:id="20"/>
    <w:bookmarkStart w:id="21" w:name="executive-summary"/>
    <w:p>
      <w:pPr>
        <w:pStyle w:val="Heading2"/>
      </w:pPr>
      <w:r>
        <w:t xml:space="preserve">Executive Summary</w:t>
      </w:r>
    </w:p>
    <w:p>
      <w:pPr>
        <w:pStyle w:val="FirstParagraph"/>
      </w:pPr>
      <w:r>
        <w:t xml:space="preserve">This comprehensive Sales Report details the performance of our banking operations in Caracas, Venezuela during Q3 2023. Despite unprecedented economic volatility, our regional</w:t>
      </w:r>
      <w:r>
        <w:t xml:space="preserve"> </w:t>
      </w:r>
      <w:r>
        <w:rPr>
          <w:bCs/>
          <w:b/>
        </w:rPr>
        <w:t xml:space="preserve">Banker</w:t>
      </w:r>
      <w:r>
        <w:t xml:space="preserve"> </w:t>
      </w:r>
      <w:r>
        <w:t xml:space="preserve">team achieved remarkable milestones in customer acquisition and financial product penetration across the Caracas metropolitan area. The report demonstrates how strategic adaptation to Venezuela's unique market conditions has positioned us for sustainable growth as a leading commercial bank in Caracas.</w:t>
      </w:r>
    </w:p>
    <w:bookmarkEnd w:id="21"/>
    <w:bookmarkStart w:id="22" w:name="X75214d1e9c2181fe4ee06153078b9c0d47317f7"/>
    <w:p>
      <w:pPr>
        <w:pStyle w:val="Heading2"/>
      </w:pPr>
      <w:r>
        <w:t xml:space="preserve">Market Context: Venezuela Caracas Economic Landscape</w:t>
      </w:r>
    </w:p>
    <w:p>
      <w:pPr>
        <w:pStyle w:val="FirstParagraph"/>
      </w:pPr>
      <w:r>
        <w:t xml:space="preserve">The Venezuelan banking sector continues to navigate extreme challenges including hyperinflation (projected at 83% annually), dual currency system complexities, and strict foreign exchange controls. In Caracas—the nation's economic epicenter—these conditions create both obstacles and opportunities for banking professionals. As the primary</w:t>
      </w:r>
      <w:r>
        <w:t xml:space="preserve"> </w:t>
      </w:r>
      <w:r>
        <w:rPr>
          <w:bCs/>
          <w:b/>
        </w:rPr>
        <w:t xml:space="preserve">Banker</w:t>
      </w:r>
      <w:r>
        <w:t xml:space="preserve"> </w:t>
      </w:r>
      <w:r>
        <w:t xml:space="preserve">serving this critical market, our strategy focuses on: (1) offering inflation-protected financial products, (2) leveraging digital banking solutions to overcome physical access limitations, and (3) providing specialized advisory services for USD-denominated transactions.</w:t>
      </w:r>
    </w:p>
    <w:bookmarkEnd w:id="22"/>
    <w:bookmarkStart w:id="23" w:name="q3-sales-performance-highlights"/>
    <w:p>
      <w:pPr>
        <w:pStyle w:val="Heading2"/>
      </w:pPr>
      <w:r>
        <w:t xml:space="preserve">Q3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Change</w:t>
            </w:r>
          </w:p>
        </w:tc>
      </w:tr>
      <w:tr>
        <w:tc>
          <w:tcPr/>
          <w:p>
            <w:pPr>
              <w:pStyle w:val="Compact"/>
              <w:jc w:val="left"/>
            </w:pPr>
            <w:r>
              <w:t xml:space="preserve">New Customer Acquisition (Caracas)</w:t>
            </w:r>
          </w:p>
        </w:tc>
        <w:tc>
          <w:tcPr/>
          <w:p>
            <w:pPr>
              <w:pStyle w:val="Compact"/>
              <w:jc w:val="right"/>
            </w:pPr>
            <w:r>
              <w:t xml:space="preserve">2,475</w:t>
            </w:r>
          </w:p>
        </w:tc>
        <w:tc>
          <w:tcPr/>
          <w:p>
            <w:pPr>
              <w:pStyle w:val="Compact"/>
              <w:jc w:val="right"/>
            </w:pPr>
            <w:r>
              <w:t xml:space="preserve">1,983</w:t>
            </w:r>
          </w:p>
        </w:tc>
        <w:tc>
          <w:tcPr/>
          <w:p>
            <w:pPr>
              <w:pStyle w:val="Compact"/>
              <w:jc w:val="right"/>
            </w:pPr>
            <w:r>
              <w:t xml:space="preserve">+24.8%</w:t>
            </w:r>
          </w:p>
        </w:tc>
      </w:tr>
      <w:tr>
        <w:tc>
          <w:tcPr/>
          <w:p>
            <w:pPr>
              <w:pStyle w:val="Compact"/>
              <w:jc w:val="left"/>
            </w:pPr>
            <w:r>
              <w:t xml:space="preserve">Digital Banking Adoption Rate</w:t>
            </w:r>
          </w:p>
        </w:tc>
        <w:tc>
          <w:tcPr/>
          <w:p>
            <w:pPr>
              <w:pStyle w:val="Compact"/>
              <w:jc w:val="right"/>
            </w:pPr>
            <w:r>
              <w:t xml:space="preserve">76.3%</w:t>
            </w:r>
          </w:p>
        </w:tc>
        <w:tc>
          <w:tcPr/>
          <w:p>
            <w:pPr>
              <w:pStyle w:val="Compact"/>
              <w:jc w:val="right"/>
            </w:pPr>
            <w:r>
              <w:t xml:space="preserve">68.5%</w:t>
            </w:r>
          </w:p>
        </w:tc>
        <w:tc>
          <w:tcPr/>
          <w:p>
            <w:pPr>
              <w:pStyle w:val="Compact"/>
              <w:jc w:val="right"/>
            </w:pPr>
            <w:r>
              <w:t xml:space="preserve">+8.8 pts</w:t>
            </w:r>
          </w:p>
        </w:tc>
      </w:tr>
      <w:tr>
        <w:tc>
          <w:tcPr/>
          <w:p>
            <w:pPr>
              <w:pStyle w:val="Compact"/>
              <w:jc w:val="left"/>
            </w:pPr>
            <w:r>
              <w:t xml:space="preserve">Foreign Currency Account Openings</w:t>
            </w:r>
          </w:p>
        </w:tc>
        <w:tc>
          <w:tcPr/>
          <w:p>
            <w:pPr>
              <w:pStyle w:val="Compact"/>
              <w:jc w:val="right"/>
            </w:pPr>
            <w:r>
              <w:t xml:space="preserve">3,128</w:t>
            </w:r>
          </w:p>
        </w:tc>
        <w:tc>
          <w:tcPr/>
          <w:p>
            <w:pPr>
              <w:pStyle w:val="Compact"/>
              <w:jc w:val="right"/>
            </w:pPr>
            <w:r>
              <w:t xml:space="preserve">2,564</w:t>
            </w:r>
          </w:p>
        </w:tc>
        <w:tc>
          <w:tcPr/>
          <w:p>
            <w:pPr>
              <w:pStyle w:val="Compact"/>
              <w:jc w:val="right"/>
            </w:pPr>
            <w:r>
              <w:t xml:space="preserve">+22.0%</w:t>
            </w:r>
          </w:p>
        </w:tc>
      </w:tr>
      <w:tr>
        <w:tc>
          <w:tcPr/>
          <w:p>
            <w:pPr>
              <w:pStyle w:val="Compact"/>
              <w:jc w:val="left"/>
            </w:pPr>
            <w:r>
              <w:t xml:space="preserve">Commercial Loan Disbursement (Caracas)</w:t>
            </w:r>
          </w:p>
        </w:tc>
        <w:tc>
          <w:tcPr/>
          <w:p>
            <w:pPr>
              <w:pStyle w:val="Compact"/>
              <w:jc w:val="right"/>
            </w:pPr>
            <w:r>
              <w:t xml:space="preserve">$48.7M</w:t>
            </w:r>
          </w:p>
        </w:tc>
        <w:tc>
          <w:tcPr/>
          <w:p>
            <w:pPr>
              <w:pStyle w:val="Compact"/>
              <w:jc w:val="right"/>
            </w:pPr>
            <w:r>
              <w:t xml:space="preserve">$39.2M</w:t>
            </w:r>
          </w:p>
        </w:tc>
        <w:tc>
          <w:tcPr/>
          <w:p>
            <w:pPr>
              <w:pStyle w:val="Compact"/>
              <w:jc w:val="right"/>
            </w:pPr>
            <w:r>
              <w:t xml:space="preserve">+24.2%</w:t>
            </w:r>
          </w:p>
        </w:tc>
      </w:tr>
    </w:tbl>
    <w:bookmarkEnd w:id="23"/>
    <w:bookmarkStart w:id="27" w:name="X62e13ef153b3c54d4572a573a5a6134150b31af"/>
    <w:p>
      <w:pPr>
        <w:pStyle w:val="Heading2"/>
      </w:pPr>
      <w:r>
        <w:t xml:space="preserve">Strategic Successes in Venezuela Caracas Market</w:t>
      </w:r>
    </w:p>
    <w:p>
      <w:pPr>
        <w:pStyle w:val="FirstParagraph"/>
      </w:pPr>
      <w:r>
        <w:t xml:space="preserve">Our</w:t>
      </w:r>
      <w:r>
        <w:t xml:space="preserve"> </w:t>
      </w:r>
      <w:r>
        <w:rPr>
          <w:bCs/>
          <w:b/>
        </w:rPr>
        <w:t xml:space="preserve">Banker</w:t>
      </w:r>
      <w:r>
        <w:t xml:space="preserve"> </w:t>
      </w:r>
      <w:r>
        <w:t xml:space="preserve">team's success in Caracas stems from three core initiatives:</w:t>
      </w:r>
    </w:p>
    <w:bookmarkStart w:id="24" w:name="inflation-resistant-product-portfolio"/>
    <w:p>
      <w:pPr>
        <w:pStyle w:val="Heading3"/>
      </w:pPr>
      <w:r>
        <w:t xml:space="preserve">1. Inflation-Resistant Product Portfolio</w:t>
      </w:r>
    </w:p>
    <w:p>
      <w:pPr>
        <w:pStyle w:val="FirstParagraph"/>
      </w:pPr>
      <w:r>
        <w:t xml:space="preserve">We launched "Venezuela Stability Accounts" in June 2023, offering interest rates tied to the monthly inflation rate with quarterly adjustments. This innovation directly addresses Caracas citizens' urgent need for capital preservation amid Venezuela's economic instability. The product drove 68% of new customer acquisitions in Q3, with over 15,000 active accounts within the region.</w:t>
      </w:r>
    </w:p>
    <w:bookmarkEnd w:id="24"/>
    <w:bookmarkStart w:id="25" w:name="X0bcd3da0c190436279a99a6635d2da3d67edeef"/>
    <w:p>
      <w:pPr>
        <w:pStyle w:val="Heading3"/>
      </w:pPr>
      <w:r>
        <w:t xml:space="preserve">2. Digital Transformation for Caracas Accessibility</w:t>
      </w:r>
    </w:p>
    <w:p>
      <w:pPr>
        <w:pStyle w:val="FirstParagraph"/>
      </w:pPr>
      <w:r>
        <w:t xml:space="preserve">Recognizing transportation challenges and physical branch limitations in Caracas neighborhoods like Petare and La Pastora, we accelerated mobile banking adoption. The "Caracas Access Initiative" provided free biometric verification at community centers across 12 districts, resulting in a 32% increase in digital transactions from previously underserved areas.</w:t>
      </w:r>
    </w:p>
    <w:bookmarkEnd w:id="25"/>
    <w:bookmarkStart w:id="26" w:name="X8d156a54e4322c6d6a0c74ee5bbbbabc8df2c92"/>
    <w:p>
      <w:pPr>
        <w:pStyle w:val="Heading3"/>
      </w:pPr>
      <w:r>
        <w:t xml:space="preserve">3. Commercial Banking Solutions for Local Entrepreneurs</w:t>
      </w:r>
    </w:p>
    <w:p>
      <w:pPr>
        <w:pStyle w:val="FirstParagraph"/>
      </w:pPr>
      <w:r>
        <w:t xml:space="preserve">Our regional</w:t>
      </w:r>
      <w:r>
        <w:t xml:space="preserve"> </w:t>
      </w:r>
      <w:r>
        <w:rPr>
          <w:bCs/>
          <w:b/>
        </w:rPr>
        <w:t xml:space="preserve">Banker</w:t>
      </w:r>
      <w:r>
        <w:t xml:space="preserve"> </w:t>
      </w:r>
      <w:r>
        <w:t xml:space="preserve">specialized in small business financing saw a 41% surge in applications from Caracas micro-entrepreneurs. By simplifying USD loan applications through our mobile platform (in collaboration with the Central Bank of Venezuela), we enabled faster processing times for exporters and importers navigating complex FX regulations.</w:t>
      </w:r>
    </w:p>
    <w:bookmarkEnd w:id="26"/>
    <w:bookmarkEnd w:id="27"/>
    <w:bookmarkStart w:id="28" w:name="X9a311d993ff3d06ac423b4ea7a2ed50e90966de"/>
    <w:p>
      <w:pPr>
        <w:pStyle w:val="Heading2"/>
      </w:pPr>
      <w:r>
        <w:t xml:space="preserve">Challenges Faced in Venezuela Caracas Context</w:t>
      </w:r>
    </w:p>
    <w:p>
      <w:pPr>
        <w:pStyle w:val="FirstParagraph"/>
      </w:pPr>
      <w:r>
        <w:t xml:space="preserve">The Caracas market presents unique obstacles requiring constant adaptation. In Q3, we encountered:</w:t>
      </w:r>
    </w:p>
    <w:p>
      <w:pPr>
        <w:numPr>
          <w:ilvl w:val="0"/>
          <w:numId w:val="1001"/>
        </w:numPr>
        <w:pStyle w:val="Compact"/>
      </w:pPr>
      <w:r>
        <w:rPr>
          <w:bCs/>
          <w:b/>
        </w:rPr>
        <w:t xml:space="preserve">Regulatory Shifts:</w:t>
      </w:r>
      <w:r>
        <w:t xml:space="preserve"> </w:t>
      </w:r>
      <w:r>
        <w:t xml:space="preserve">Sudden Central Bank of Venezuela policy changes to limit foreign currency access required immediate product realignment for our Caracas operations.</w:t>
      </w:r>
    </w:p>
    <w:p>
      <w:pPr>
        <w:numPr>
          <w:ilvl w:val="0"/>
          <w:numId w:val="1001"/>
        </w:numPr>
        <w:pStyle w:val="Compact"/>
      </w:pPr>
      <w:r>
        <w:rPr>
          <w:bCs/>
          <w:b/>
        </w:rPr>
        <w:t xml:space="preserve">Cash Shortages:</w:t>
      </w:r>
      <w:r>
        <w:t xml:space="preserve"> </w:t>
      </w:r>
      <w:r>
        <w:t xml:space="preserve">Physical branch operations in Caracas faced liquidity constraints during the month of July, necessitating rapid deployment of mobile banking solutions.</w:t>
      </w:r>
    </w:p>
    <w:p>
      <w:pPr>
        <w:numPr>
          <w:ilvl w:val="0"/>
          <w:numId w:val="1001"/>
        </w:numPr>
        <w:pStyle w:val="Compact"/>
      </w:pPr>
      <w:r>
        <w:rPr>
          <w:bCs/>
          <w:b/>
        </w:rPr>
        <w:t xml:space="preserve">Customer Education:</w:t>
      </w:r>
      <w:r>
        <w:t xml:space="preserve"> </w:t>
      </w:r>
      <w:r>
        <w:t xml:space="preserve">High financial literacy gaps among Caracas residents required 120+ community workshops on digital banking security and inflation management strategies.</w:t>
      </w:r>
    </w:p>
    <w:bookmarkEnd w:id="28"/>
    <w:bookmarkStart w:id="29" w:name="X34d400b2ff2f0ca346aad81f7c83bfc76fee22e"/>
    <w:p>
      <w:pPr>
        <w:pStyle w:val="Heading2"/>
      </w:pPr>
      <w:r>
        <w:t xml:space="preserve">The Banker's Role in Venezuela Caracas Success</w:t>
      </w:r>
    </w:p>
    <w:p>
      <w:pPr>
        <w:pStyle w:val="FirstParagraph"/>
      </w:pPr>
      <w:r>
        <w:t xml:space="preserve">Our regional bankers have become critical market navigators. Unlike traditional sales roles, our Caracas</w:t>
      </w:r>
      <w:r>
        <w:t xml:space="preserve"> </w:t>
      </w:r>
      <w:r>
        <w:rPr>
          <w:bCs/>
          <w:b/>
        </w:rPr>
        <w:t xml:space="preserve">Banker</w:t>
      </w:r>
      <w:r>
        <w:t xml:space="preserve"> </w:t>
      </w:r>
      <w:r>
        <w:t xml:space="preserve">functions as a financial consultant who understands local nuances:</w:t>
      </w:r>
    </w:p>
    <w:p>
      <w:pPr>
        <w:numPr>
          <w:ilvl w:val="0"/>
          <w:numId w:val="1002"/>
        </w:numPr>
        <w:pStyle w:val="Compact"/>
      </w:pPr>
      <w:r>
        <w:rPr>
          <w:bCs/>
          <w:b/>
        </w:rPr>
        <w:t xml:space="preserve">Cultural Intelligence:</w:t>
      </w:r>
      <w:r>
        <w:t xml:space="preserve"> </w:t>
      </w:r>
      <w:r>
        <w:t xml:space="preserve">Tailoring communication styles for diverse Caracas demographics (e.g., Spanish-English bilingual support in affluent areas, simplified messaging in informal settlements).</w:t>
      </w:r>
    </w:p>
    <w:p>
      <w:pPr>
        <w:numPr>
          <w:ilvl w:val="0"/>
          <w:numId w:val="1002"/>
        </w:numPr>
        <w:pStyle w:val="Compact"/>
      </w:pPr>
      <w:r>
        <w:rPr>
          <w:bCs/>
          <w:b/>
        </w:rPr>
        <w:t xml:space="preserve">Real-Time Market Sensing:</w:t>
      </w:r>
      <w:r>
        <w:t xml:space="preserve"> </w:t>
      </w:r>
      <w:r>
        <w:t xml:space="preserve">Bankers directly report on neighborhood-level economic shifts through weekly community briefings in Caracas.</w:t>
      </w:r>
    </w:p>
    <w:p>
      <w:pPr>
        <w:numPr>
          <w:ilvl w:val="0"/>
          <w:numId w:val="1002"/>
        </w:numPr>
        <w:pStyle w:val="Compact"/>
      </w:pPr>
      <w:r>
        <w:rPr>
          <w:bCs/>
          <w:b/>
        </w:rPr>
        <w:t xml:space="preserve">Compliance Mastery:</w:t>
      </w:r>
      <w:r>
        <w:t xml:space="preserve"> </w:t>
      </w:r>
      <w:r>
        <w:t xml:space="preserve">Navigating Venezuela's complex banking regulations with precision to ensure all transactions comply with Central Bank directives for Caracas operations.</w:t>
      </w:r>
    </w:p>
    <w:bookmarkEnd w:id="29"/>
    <w:bookmarkStart w:id="30" w:name="X0b661ac628b0785364c9c5df21d560322321a17"/>
    <w:p>
      <w:pPr>
        <w:pStyle w:val="Heading2"/>
      </w:pPr>
      <w:r>
        <w:t xml:space="preserve">Future Strategy for Venezuela Caracas Growth</w:t>
      </w:r>
    </w:p>
    <w:p>
      <w:pPr>
        <w:pStyle w:val="FirstParagraph"/>
      </w:pPr>
      <w:r>
        <w:t xml:space="preserve">Building on Q3 successes, we propose three strategic priorities for the Caracas market:</w:t>
      </w:r>
    </w:p>
    <w:p>
      <w:pPr>
        <w:numPr>
          <w:ilvl w:val="0"/>
          <w:numId w:val="1003"/>
        </w:numPr>
        <w:pStyle w:val="Compact"/>
      </w:pPr>
      <w:r>
        <w:rPr>
          <w:bCs/>
          <w:b/>
        </w:rPr>
        <w:t xml:space="preserve">Hyper-Localized Product Development:</w:t>
      </w:r>
      <w:r>
        <w:t xml:space="preserve"> </w:t>
      </w:r>
      <w:r>
        <w:t xml:space="preserve">Create neighborhood-specific financial products (e.g., "Petare Business Starter Kits" with pre-approved microloans for local vendors).</w:t>
      </w:r>
    </w:p>
    <w:p>
      <w:pPr>
        <w:numPr>
          <w:ilvl w:val="0"/>
          <w:numId w:val="1003"/>
        </w:numPr>
        <w:pStyle w:val="Compact"/>
      </w:pPr>
      <w:r>
        <w:rPr>
          <w:bCs/>
          <w:b/>
        </w:rPr>
        <w:t xml:space="preserve">Cashless Caracas Initiative:</w:t>
      </w:r>
      <w:r>
        <w:t xml:space="preserve"> </w:t>
      </w:r>
      <w:r>
        <w:t xml:space="preserve">Partner with municipal authorities to establish 50+ cash-in/cash-out points across underserved districts by Q1 2024.</w:t>
      </w:r>
    </w:p>
    <w:p>
      <w:pPr>
        <w:numPr>
          <w:ilvl w:val="0"/>
          <w:numId w:val="1003"/>
        </w:numPr>
        <w:pStyle w:val="Compact"/>
      </w:pPr>
      <w:r>
        <w:rPr>
          <w:bCs/>
          <w:b/>
        </w:rPr>
        <w:t xml:space="preserve">Banker Empowerment Program:</w:t>
      </w:r>
      <w:r>
        <w:t xml:space="preserve"> </w:t>
      </w:r>
      <w:r>
        <w:t xml:space="preserve">Invest in advanced training for our Caracas</w:t>
      </w:r>
      <w:r>
        <w:t xml:space="preserve"> </w:t>
      </w:r>
      <w:r>
        <w:rPr>
          <w:bCs/>
          <w:b/>
        </w:rPr>
        <w:t xml:space="preserve">Banker</w:t>
      </w:r>
      <w:r>
        <w:t xml:space="preserve"> </w:t>
      </w:r>
      <w:r>
        <w:t xml:space="preserve">team on Venezuela's evolving economic policies and digital tools to enhance customer trust.</w:t>
      </w:r>
    </w:p>
    <w:bookmarkEnd w:id="30"/>
    <w:bookmarkStart w:id="31" w:name="conclusion"/>
    <w:p>
      <w:pPr>
        <w:pStyle w:val="Heading2"/>
      </w:pPr>
      <w:r>
        <w:t xml:space="preserve">Conclusion</w:t>
      </w:r>
    </w:p>
    <w:p>
      <w:pPr>
        <w:pStyle w:val="FirstParagraph"/>
      </w:pPr>
      <w:r>
        <w:t xml:space="preserve">This Sales Report confirms that our strategic focus on the Venezuela Caracas market has yielded exceptional results despite challenging conditions. The data demonstrates how a dedicated</w:t>
      </w:r>
      <w:r>
        <w:t xml:space="preserve"> </w:t>
      </w:r>
      <w:r>
        <w:rPr>
          <w:bCs/>
          <w:b/>
        </w:rPr>
        <w:t xml:space="preserve">Banker</w:t>
      </w:r>
      <w:r>
        <w:t xml:space="preserve"> </w:t>
      </w:r>
      <w:r>
        <w:t xml:space="preserve">team, deeply embedded in the Caracas community and attuned to Venezuela's economic realities, can drive sustainable growth where others see only obstacles. Our Q3 performance – particularly the 24.8% increase in new customers and record commercial loan disbursements – validates our approach as a model for banking excellence in volatile emerging markets.</w:t>
      </w:r>
    </w:p>
    <w:p>
      <w:pPr>
        <w:pStyle w:val="BodyText"/>
      </w:pPr>
      <w:r>
        <w:t xml:space="preserve">As we enter Q4, we remain committed to serving Venezuela Caracas with innovative financial solutions that empower residents and businesses while adhering to all Central Bank of Venezuela regulations. The success of this Sales Report is not merely about numbers – it represents tangible progress toward building a more financially resilient Caracas.</w:t>
      </w:r>
    </w:p>
    <w:p>
      <w:pPr>
        <w:pStyle w:val="BodyText"/>
      </w:pPr>
      <w:r>
        <w:rPr>
          <w:bCs/>
          <w:b/>
        </w:rPr>
        <w:t xml:space="preserve">Prepared By:</w:t>
      </w:r>
      <w:r>
        <w:br/>
      </w:r>
      <w:r>
        <w:t xml:space="preserve">Regional Sales Director, Venezuela Caracas Division</w:t>
      </w:r>
      <w:r>
        <w:br/>
      </w:r>
      <w:r>
        <w:t xml:space="preserve">Central Bank of Venezuela Compliance Certified</w:t>
      </w:r>
      <w:r>
        <w:br/>
      </w:r>
      <w:r>
        <w:t xml:space="preserve">Date: October 15,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Caracas Banking Sales Report: Q3 2023</dc:title>
  <dc:creator/>
  <dc:language>en</dc:language>
  <cp:keywords/>
  <dcterms:created xsi:type="dcterms:W3CDTF">2026-07-24T07:50:17Z</dcterms:created>
  <dcterms:modified xsi:type="dcterms:W3CDTF">2026-07-24T07:50:17Z</dcterms:modified>
</cp:coreProperties>
</file>

<file path=docProps/custom.xml><?xml version="1.0" encoding="utf-8"?>
<Properties xmlns="http://schemas.openxmlformats.org/officeDocument/2006/custom-properties" xmlns:vt="http://schemas.openxmlformats.org/officeDocument/2006/docPropsVTypes"/>
</file>