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4464976e3f4eac0ec23170c61cd95ae6663ecd6"/>
    <w:p>
      <w:pPr>
        <w:pStyle w:val="Heading1"/>
      </w:pPr>
      <w:r>
        <w:t xml:space="preserve">Q3 2023 Sales Report: Strategic Growth and Market Leadership of Banking Services in Ho Chi Minh City, Vietnam</w:t>
      </w:r>
    </w:p>
    <w:bookmarkStart w:id="20" w:name="executive-summary"/>
    <w:p>
      <w:pPr>
        <w:pStyle w:val="Heading2"/>
      </w:pPr>
      <w:r>
        <w:t xml:space="preserve">Executive Summary</w:t>
      </w:r>
    </w:p>
    <w:p>
      <w:pPr>
        <w:pStyle w:val="FirstParagraph"/>
      </w:pPr>
      <w:r>
        <w:t xml:space="preserve">This comprehensive Sales Report details the performance of banking services within Vietnam Ho Chi Minh City during Q3 2023. As the economic epicenter of Vietnam, Ho Chi Minh City (HCMC) continues to drive national financial growth, presenting unique opportunities and challenges for every banker operating in this dynamic market. The report confirms that our bank's strategic focus on client-centric solutions, digital innovation, and deep local market understanding has enabled significant expansion. Key metrics demonstrate a 22% year-on-year increase in new client acquisition within HCMC, alongside a 15% uplift in cross-selling success rates for corporate banking products. This growth solidifies our position as a leading financial partner for businesses navigating the complexities of Vietnam Ho Chi Minh City's rapidly evolving economy.</w:t>
      </w:r>
    </w:p>
    <w:bookmarkEnd w:id="20"/>
    <w:bookmarkStart w:id="21" w:name="performance-analysis-hcmc-market-focus"/>
    <w:p>
      <w:pPr>
        <w:pStyle w:val="Heading2"/>
      </w:pPr>
      <w:r>
        <w:t xml:space="preserve">Performance Analysis: HCMC Market Focus</w:t>
      </w:r>
    </w:p>
    <w:p>
      <w:pPr>
        <w:pStyle w:val="FirstParagraph"/>
      </w:pPr>
      <w:r>
        <w:t xml:space="preserve">Within Vietnam Ho Chi Minh City, the Sales team achieved remarkable results by tailoring offerings to local business needs. The corporate banking division, led by our highly skilled bankers, secured six major new accounts from manufacturing and logistics sectors in District 1 and Thu Duc City – key economic hubs. These include a prominent textile exporter expanding into Southeast Asia and a tech startup scaling operations after securing Series B funding. The personal banking segment also flourished, with digital onboarding for retail clients increasing by 40% compared to Q2, directly driven by our mobile banking app optimization for HCMC's high smartphone penetration rate. Our dedicated banker teams conducted over 350 personalized client consultations across the city last quarter, demonstrating the critical importance of face-to-face relationship management even in a digital age within Vietnam Ho Chi Minh City.</w:t>
      </w:r>
    </w:p>
    <w:bookmarkEnd w:id="21"/>
    <w:bookmarkStart w:id="22" w:name="Xfa853d4c9e9303cebb2c15fbe5ac9962fb9c5c0"/>
    <w:p>
      <w:pPr>
        <w:pStyle w:val="Heading2"/>
      </w:pPr>
      <w:r>
        <w:t xml:space="preserve">Product Performance: Aligning with HCMC Demands</w:t>
      </w:r>
    </w:p>
    <w:p>
      <w:pPr>
        <w:pStyle w:val="FirstParagraph"/>
      </w:pPr>
      <w:r>
        <w:t xml:space="preserve">The success of our sales strategy hinges on products designed for Vietnam Ho Chi Minh City's specific commercial environment. Trade finance solutions saw the highest growth (30% YoY), responding directly to increased export volumes from HCMC-based manufacturers seeking efficient payment processing. Our "HCMC Business Growth Package," launched specifically for mid-sized enterprises operating within the city, achieved a 98% client satisfaction rate in post-sale surveys. This package includes tailored credit lines with flexible repayment aligned with Vietnam's seasonal export cycles and dedicated support for navigating local regulatory requirements – a critical factor in building trust with local businesses. Additionally, our digital wallet integration for HCMC's popular e-commerce platforms (like Shopee and Lazada) drove a 25% increase in transaction volume among retail customers, showcasing how our banker teams successfully bridged traditional finance with modern Vietnamese consumer behavior.</w:t>
      </w:r>
    </w:p>
    <w:bookmarkEnd w:id="22"/>
    <w:bookmarkStart w:id="23" w:name="X062d771dfc1687a60ea743d059c9b64d85c83c4"/>
    <w:p>
      <w:pPr>
        <w:pStyle w:val="Heading2"/>
      </w:pPr>
      <w:r>
        <w:t xml:space="preserve">Market Insights: Vietnam Ho Chi Minh City as the Engine</w:t>
      </w:r>
    </w:p>
    <w:p>
      <w:pPr>
        <w:pStyle w:val="FirstParagraph"/>
      </w:pPr>
      <w:r>
        <w:t xml:space="preserve">HCMC remains the undisputed financial engine of Vietnam, contributing over 25% of the nation's GDP. This quarter's performance underscores how our Sales Report must continuously adapt to HCMC's unique pulse. Key insights include:</w:t>
      </w:r>
    </w:p>
    <w:p>
      <w:pPr>
        <w:numPr>
          <w:ilvl w:val="0"/>
          <w:numId w:val="1001"/>
        </w:numPr>
        <w:pStyle w:val="Compact"/>
      </w:pPr>
      <w:r>
        <w:t xml:space="preserve">The surge in foreign direct investment (FDI) into manufacturing and logistics within HCMC is directly fueling demand for specialized trade finance and corporate treasury solutions.</w:t>
      </w:r>
    </w:p>
    <w:p>
      <w:pPr>
        <w:numPr>
          <w:ilvl w:val="0"/>
          <w:numId w:val="1001"/>
        </w:numPr>
        <w:pStyle w:val="Compact"/>
      </w:pPr>
      <w:r>
        <w:t xml:space="preserve">Increased digital literacy among Vietnamese SMEs, particularly in District 1's business districts, necessitates our bankers to be proficient in both traditional banking services and fintech platforms.</w:t>
      </w:r>
    </w:p>
    <w:p>
      <w:pPr>
        <w:numPr>
          <w:ilvl w:val="0"/>
          <w:numId w:val="1001"/>
        </w:numPr>
        <w:pStyle w:val="Compact"/>
      </w:pPr>
      <w:r>
        <w:t xml:space="preserve">Government initiatives like "Vietnam Digital Transformation 2030" are accelerating adoption of integrated financial services, creating opportunities for bankers to position our bank as a tech-enabled partner.</w:t>
      </w:r>
    </w:p>
    <w:p>
      <w:pPr>
        <w:pStyle w:val="FirstParagraph"/>
      </w:pPr>
      <w:r>
        <w:t xml:space="preserve">Understanding these nuances is not optional; it's fundamental for every banker operating within Vietnam Ho Chi Minh City. Our Q3 results reflect this deep market intelligence translating into tangible sales success.</w:t>
      </w:r>
    </w:p>
    <w:bookmarkEnd w:id="23"/>
    <w:bookmarkStart w:id="24" w:name="challenges-and-strategic-response"/>
    <w:p>
      <w:pPr>
        <w:pStyle w:val="Heading2"/>
      </w:pPr>
      <w:r>
        <w:t xml:space="preserve">Challenges and Strategic Response</w:t>
      </w:r>
    </w:p>
    <w:p>
      <w:pPr>
        <w:pStyle w:val="FirstParagraph"/>
      </w:pPr>
      <w:r>
        <w:t xml:space="preserve">Navigating the HCMC banking landscape presents distinct challenges. Regulatory changes from the State Bank of Vietnam (SBV) required swift adaptation in our documentation processes for corporate loans, temporarily slowing some deal closures. Our response was immediate: bankers attended specialized SBV compliance workshops, and our internal team streamlined workflows within 30 days. Furthermore, intense competition from both local banks like Vietcombank and international players necessitated a sharper focus on value-added services beyond standard interest rates. The Sales Report highlights that the most successful bankers in Vietnam Ho Chi Minh City are those who cultivate deep sector knowledge – understanding the supply chain challenges of HCMC's garment industry or the logistics intricacies for e-commerce firms – making them indispensable advisors, not just product sellers.</w:t>
      </w:r>
    </w:p>
    <w:bookmarkEnd w:id="24"/>
    <w:bookmarkStart w:id="25" w:name="key-recommendations-for-future-growth"/>
    <w:p>
      <w:pPr>
        <w:pStyle w:val="Heading2"/>
      </w:pPr>
      <w:r>
        <w:t xml:space="preserve">Key Recommendations for Future Growth</w:t>
      </w:r>
    </w:p>
    <w:p>
      <w:pPr>
        <w:pStyle w:val="FirstParagraph"/>
      </w:pPr>
      <w:r>
        <w:t xml:space="preserve">Based on this Q3 Sales Report, the following strategic actions are imperative to sustain momentum in Vietnam Ho Chi Minh City:</w:t>
      </w:r>
    </w:p>
    <w:p>
      <w:pPr>
        <w:numPr>
          <w:ilvl w:val="0"/>
          <w:numId w:val="1002"/>
        </w:numPr>
        <w:pStyle w:val="Compact"/>
      </w:pPr>
      <w:r>
        <w:rPr>
          <w:bCs/>
          <w:b/>
        </w:rPr>
        <w:t xml:space="preserve">Hyper-Localize Banking Products:</w:t>
      </w:r>
      <w:r>
        <w:t xml:space="preserve"> </w:t>
      </w:r>
      <w:r>
        <w:t xml:space="preserve">Develop dedicated service lines for emerging HCMC sectors like EV manufacturing and renewable energy, requiring specialized finance models.</w:t>
      </w:r>
    </w:p>
    <w:p>
      <w:pPr>
        <w:numPr>
          <w:ilvl w:val="0"/>
          <w:numId w:val="1002"/>
        </w:numPr>
        <w:pStyle w:val="Compact"/>
      </w:pPr>
      <w:r>
        <w:rPr>
          <w:bCs/>
          <w:b/>
        </w:rPr>
        <w:t xml:space="preserve">Enhance Digital-Centric Sales Training:</w:t>
      </w:r>
      <w:r>
        <w:t xml:space="preserve"> </w:t>
      </w:r>
      <w:r>
        <w:t xml:space="preserve">Equip every banker with advanced digital tools to seamlessly manage client relationships across platforms preferred by HCMC businesses (e.g., Zalo Business, Facebook for Business).</w:t>
      </w:r>
    </w:p>
    <w:p>
      <w:pPr>
        <w:numPr>
          <w:ilvl w:val="0"/>
          <w:numId w:val="1002"/>
        </w:numPr>
        <w:pStyle w:val="Compact"/>
      </w:pPr>
      <w:r>
        <w:rPr>
          <w:bCs/>
          <w:b/>
        </w:rPr>
        <w:t xml:space="preserve">Invest in Talent Development:</w:t>
      </w:r>
      <w:r>
        <w:t xml:space="preserve"> </w:t>
      </w:r>
      <w:r>
        <w:t xml:space="preserve">Prioritize hiring and training bankers with deep, local Vietnamese business acumen specific to Ho Chi Minh City's market dynamics.</w:t>
      </w:r>
    </w:p>
    <w:p>
      <w:pPr>
        <w:pStyle w:val="FirstParagraph"/>
      </w:pPr>
      <w:r>
        <w:t xml:space="preserve">The competitive edge for the modern banker in Vietnam Ho Chi Minh City lies not just in offering products, but in deeply understanding the city's economic heartbeat and translating that into bespoke financial solutions.</w:t>
      </w:r>
    </w:p>
    <w:bookmarkEnd w:id="25"/>
    <w:bookmarkStart w:id="26" w:name="conclusion"/>
    <w:p>
      <w:pPr>
        <w:pStyle w:val="Heading2"/>
      </w:pPr>
      <w:r>
        <w:t xml:space="preserve">Conclusion</w:t>
      </w:r>
    </w:p>
    <w:p>
      <w:pPr>
        <w:pStyle w:val="FirstParagraph"/>
      </w:pPr>
      <w:r>
        <w:t xml:space="preserve">The Q3 2023 Sales Report unequivocally demonstrates that strategic focus, coupled with deep market intelligence, is driving exceptional results for our bank within Vietnam Ho Chi Minh City. Our bankers have successfully navigated local complexities, leveraged digital trends specific to HCMC's vibrant economy, and built trust through personalized service. This quarter's performance – exceeding targets in key areas like new corporate acquisition and digital engagement – sets a powerful precedent. As Vietnam continues its economic ascent, with Ho Chi Minh City at the forefront, our commitment to empowering businesses through exceptional banking services remains unwavering. The future success of every banker operating in this dynamic environment hinges on continuous adaptation to the evolving needs of Vietnam Ho Chi Minh City's thriving business community. The momentum achieved in Q3 positions us strongly for sustained leadership as we move into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Banking Performance in Ho Chi Minh City, Vietnam</dc:title>
  <dc:creator/>
  <dc:language>en</dc:language>
  <cp:keywords/>
  <dcterms:created xsi:type="dcterms:W3CDTF">2026-07-24T15:43:27Z</dcterms:created>
  <dcterms:modified xsi:type="dcterms:W3CDTF">2026-07-24T15:43:27Z</dcterms:modified>
</cp:coreProperties>
</file>

<file path=docProps/custom.xml><?xml version="1.0" encoding="utf-8"?>
<Properties xmlns="http://schemas.openxmlformats.org/officeDocument/2006/custom-properties" xmlns:vt="http://schemas.openxmlformats.org/officeDocument/2006/docPropsVTypes"/>
</file>