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Zimbabwe</w:t>
      </w:r>
      <w:r>
        <w:t xml:space="preserve"> </w:t>
      </w:r>
      <w:r>
        <w:t xml:space="preserve">Harare</w:t>
      </w:r>
      <w:r>
        <w:t xml:space="preserve"> </w:t>
      </w:r>
      <w:r>
        <w:t xml:space="preserve">Banking</w:t>
      </w:r>
      <w:r>
        <w:t xml:space="preserve"> </w:t>
      </w:r>
      <w:r>
        <w:t xml:space="preserve">Performance</w:t>
      </w:r>
    </w:p>
    <w:bookmarkStart w:id="30" w:name="Xe68bc6fa5461eebf7d5ef11c98897e484aa5b8a"/>
    <w:p>
      <w:pPr>
        <w:pStyle w:val="Heading1"/>
      </w:pPr>
      <w:r>
        <w:t xml:space="preserve">Comprehensive Sales Report: Banking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Zimbabwe Banking Council</w:t>
      </w:r>
      <w:r>
        <w:br/>
      </w:r>
      <w:r>
        <w:rPr>
          <w:bCs/>
          <w:b/>
        </w:rPr>
        <w:t xml:space="preserve">Prepared By:</w:t>
      </w:r>
      <w:r>
        <w:t xml:space="preserve"> </w:t>
      </w:r>
      <w:r>
        <w:t xml:space="preserve">Senior Banker, First Capital Bank - Harare Branch</w:t>
      </w:r>
    </w:p>
    <w:bookmarkStart w:id="20" w:name="X5c03ce5cbbd13e41ae5681f1bee6232e57f49a0"/>
    <w:p>
      <w:pPr>
        <w:pStyle w:val="Heading2"/>
      </w:pPr>
      <w:r>
        <w:t xml:space="preserve">I. Introduction: Banking Context in Zimbabwe Harare</w:t>
      </w:r>
    </w:p>
    <w:p>
      <w:pPr>
        <w:pStyle w:val="FirstParagraph"/>
      </w:pPr>
      <w:r>
        <w:t xml:space="preserve">This Sales Report presents a comprehensive analysis of banking performance across all retail and corporate segments within the Harare metropolitan area during Q3 2023 (July-September). As a leading financial institution operating in Zimbabwe's economic capital, First Capital Bank has navigated complex macroeconomic conditions while delivering sustained value to clients. The Harare branch portfolio represents 45% of our national retail customer base and serves as the critical nerve center for regional banking operations. This document details sales achievements, market dynamics, and strategic initiatives undertaken by our Banking Division under the stewardship of a dedicated team of bankers across Zimbabwe Harare.</w:t>
      </w:r>
    </w:p>
    <w:bookmarkEnd w:id="20"/>
    <w:bookmarkStart w:id="21" w:name="ii.-sales-performance-overview"/>
    <w:p>
      <w:pPr>
        <w:pStyle w:val="Heading2"/>
      </w:pPr>
      <w:r>
        <w:t xml:space="preserve">II. Sales Performance Overview</w:t>
      </w:r>
    </w:p>
    <w:p>
      <w:pPr>
        <w:pStyle w:val="FirstParagraph"/>
      </w:pPr>
      <w:r>
        <w:t xml:space="preserve">The quarter witnessed resilient performance despite ongoing economic headwinds in Zimbabwe. Total sales revenue reached ZWL 148.7 million (USD 1,085,000 equivalent), representing a 6.3% increase from Q2 and a remarkable 19.7% year-on-year growth. This achievement underscores the effectiveness of our client-centric banking strategies implemented by our Harare-based banker teams across all service lines.</w:t>
      </w:r>
    </w:p>
    <w:p>
      <w:pPr>
        <w:pStyle w:val="BodyText"/>
      </w:pPr>
      <w:r>
        <w:t xml:space="preserve">Sales Segment</w:t>
      </w:r>
    </w:p>
    <w:p>
      <w:pPr>
        <w:pStyle w:val="BodyText"/>
      </w:pPr>
      <w:r>
        <w:t xml:space="preserve">Q3 2023 (ZWL)</w:t>
      </w:r>
    </w:p>
    <w:p>
      <w:pPr>
        <w:pStyle w:val="BodyText"/>
      </w:pPr>
      <w:r>
        <w:t xml:space="preserve">Q2 2023 (ZWL)</w:t>
      </w:r>
    </w:p>
    <w:p>
      <w:pPr>
        <w:pStyle w:val="BodyText"/>
      </w:pPr>
      <w:r>
        <w:t xml:space="preserve">% QoQ</w:t>
      </w:r>
    </w:p>
    <w:p>
      <w:pPr>
        <w:pStyle w:val="BodyText"/>
      </w:pPr>
      <w:r>
        <w:t xml:space="preserve">% YoY</w:t>
      </w:r>
    </w:p>
    <w:p>
      <w:pPr>
        <w:pStyle w:val="BodyText"/>
      </w:pPr>
      <w:r>
        <w:t xml:space="preserve">Retail Banking</w:t>
      </w:r>
    </w:p>
    <w:p>
      <w:pPr>
        <w:pStyle w:val="BodyText"/>
      </w:pPr>
      <w:r>
        <w:t xml:space="preserve">78.4M</w:t>
      </w:r>
    </w:p>
    <w:p>
      <w:pPr>
        <w:pStyle w:val="BodyText"/>
      </w:pPr>
      <w:r>
        <w:t xml:space="preserve">74.1M</w:t>
      </w:r>
    </w:p>
    <w:p>
      <w:pPr>
        <w:pStyle w:val="BodyText"/>
      </w:pPr>
      <w:r>
        <w:t xml:space="preserve">+5.8%</w:t>
      </w:r>
    </w:p>
    <w:p>
      <w:pPr>
        <w:pStyle w:val="BodyText"/>
      </w:pPr>
      <w:r>
        <w:t xml:space="preserve">+16.2%</w:t>
      </w:r>
    </w:p>
    <w:p>
      <w:pPr>
        <w:pStyle w:val="BodyText"/>
      </w:pPr>
      <w:r>
        <w:t xml:space="preserve">Corporate Lending</w:t>
      </w:r>
    </w:p>
    <w:p>
      <w:pPr>
        <w:pStyle w:val="BodyText"/>
      </w:pPr>
      <w:r>
        <w:t xml:space="preserve">&lt;</w:t>
      </w:r>
    </w:p>
    <w:p>
      <w:pPr>
        <w:pStyle w:val="BodyText"/>
      </w:pPr>
      <w:r>
        <w:t xml:space="preserve">52.3M</w:t>
      </w:r>
    </w:p>
    <w:p>
      <w:pPr>
        <w:pStyle w:val="BodyText"/>
      </w:pPr>
      <w:r>
        <w:t xml:space="preserve">49.6M</w:t>
      </w:r>
    </w:p>
    <w:p>
      <w:pPr>
        <w:pStyle w:val="BodyText"/>
      </w:pPr>
      <w:r>
        <w:t xml:space="preserve">+5.4%</w:t>
      </w:r>
    </w:p>
    <w:p>
      <w:pPr>
        <w:pStyle w:val="BodyText"/>
      </w:pPr>
      <w:r>
        <w:t xml:space="preserve">+18.9%</w:t>
      </w:r>
    </w:p>
    <w:p>
      <w:pPr>
        <w:pStyle w:val="BodyText"/>
      </w:pPr>
      <w:r>
        <w:t xml:space="preserve">Investment Services</w:t>
      </w:r>
    </w:p>
    <w:p>
      <w:pPr>
        <w:pStyle w:val="BodyText"/>
      </w:pPr>
      <w:r>
        <w:t xml:space="preserve">18.0M</w:t>
      </w:r>
    </w:p>
    <w:p>
      <w:pPr>
        <w:pStyle w:val="BodyText"/>
      </w:pPr>
      <w:r>
        <w:t xml:space="preserve">16.2M</w:t>
      </w:r>
    </w:p>
    <w:p>
      <w:pPr>
        <w:pStyle w:val="BodyText"/>
      </w:pPr>
      <w:r>
        <w:t xml:space="preserve">+11.1%</w:t>
      </w:r>
    </w:p>
    <w:p>
      <w:pPr>
        <w:pStyle w:val="BodyText"/>
      </w:pPr>
      <w:r>
        <w:t xml:space="preserve">+32.7%</w:t>
      </w:r>
    </w:p>
    <w:p>
      <w:pPr>
        <w:pStyle w:val="BodyText"/>
      </w:pPr>
      <w:r>
        <w:t xml:space="preserve">Total</w:t>
      </w:r>
    </w:p>
    <w:p>
      <w:pPr>
        <w:pStyle w:val="BodyText"/>
      </w:pPr>
      <w:r>
        <w:t xml:space="preserve">148.7M</w:t>
      </w:r>
    </w:p>
    <w:p>
      <w:pPr>
        <w:pStyle w:val="BodyText"/>
      </w:pPr>
      <w:r>
        <w:t xml:space="preserve">139.9M</w:t>
      </w:r>
    </w:p>
    <w:p>
      <w:pPr>
        <w:pStyle w:val="BodyText"/>
      </w:pPr>
      <w:r>
        <w:t xml:space="preserve">+6.3%</w:t>
      </w:r>
    </w:p>
    <w:p>
      <w:pPr>
        <w:pStyle w:val="BodyText"/>
      </w:pPr>
      <w:r>
        <w:t xml:space="preserve">+19.7%</w:t>
      </w:r>
    </w:p>
    <w:bookmarkEnd w:id="21"/>
    <w:bookmarkStart w:id="25" w:name="Xc516973cc59efe9a46c3546639fa31f7600e32f"/>
    <w:p>
      <w:pPr>
        <w:pStyle w:val="Heading2"/>
      </w:pPr>
      <w:r>
        <w:t xml:space="preserve">III. Key Sales Drivers in Zimbabwe Harare</w:t>
      </w:r>
    </w:p>
    <w:bookmarkStart w:id="22" w:name="a.-digital-banking-transformation"/>
    <w:p>
      <w:pPr>
        <w:pStyle w:val="Heading3"/>
      </w:pPr>
      <w:r>
        <w:t xml:space="preserve">A. Digital Banking Transformation</w:t>
      </w:r>
    </w:p>
    <w:p>
      <w:pPr>
        <w:pStyle w:val="FirstParagraph"/>
      </w:pPr>
      <w:r>
        <w:t xml:space="preserve">Our mobile banking platform, "HarareConnect," achieved 184,000 active users (+37% YoY) in the Harare metropolitan area. This digital engagement directly contributed to a 26% increase in new account openings. The banker team implemented targeted financial literacy workshops at all major university campuses across Harare (University of Zimbabwe, Chinhoyi University), driving significant growth among young professionals—a demographic previously underserved by traditional banking channels.</w:t>
      </w:r>
    </w:p>
    <w:bookmarkEnd w:id="22"/>
    <w:bookmarkStart w:id="23" w:name="b.-corporate-client-expansion"/>
    <w:p>
      <w:pPr>
        <w:pStyle w:val="Heading3"/>
      </w:pPr>
      <w:r>
        <w:t xml:space="preserve">B. Corporate Client Expansion</w:t>
      </w:r>
    </w:p>
    <w:p>
      <w:pPr>
        <w:pStyle w:val="FirstParagraph"/>
      </w:pPr>
      <w:r>
        <w:t xml:space="preserve">Corporate sales increased by 18.9% through strategic partnerships with key industrial clusters in Harare's Eastlea and Borrowdale business districts. Our banker teams secured three major SME financing deals for agro-processing enterprises (including a $250K loan package for a Harare-based maize miller) and closed a ZWL 30M syndicated facility for the Zimbabwe National Roads Administration. These transactions highlight our specialized approach to Zimbabwean market needs.</w:t>
      </w:r>
    </w:p>
    <w:bookmarkEnd w:id="23"/>
    <w:bookmarkStart w:id="24" w:name="c.-cross-selling-success"/>
    <w:p>
      <w:pPr>
        <w:pStyle w:val="Heading3"/>
      </w:pPr>
      <w:r>
        <w:t xml:space="preserve">C. Cross-Selling Success</w:t>
      </w:r>
    </w:p>
    <w:p>
      <w:pPr>
        <w:pStyle w:val="FirstParagraph"/>
      </w:pPr>
      <w:r>
        <w:t xml:space="preserve">The implementation of integrated sales training for all bankers resulted in a 22% average increase in cross-selling ratios. Notable successes include: 40% of new retail customers now utilizing both savings accounts and insurance products, while corporate clients increased use of treasury services by 35%. This holistic service delivery model has become the cornerstone of our Harare branch's competitive advantage.</w:t>
      </w:r>
    </w:p>
    <w:bookmarkEnd w:id="24"/>
    <w:bookmarkEnd w:id="25"/>
    <w:bookmarkStart w:id="26" w:name="X296ecc7282b615f4de4945e0696f57258988802"/>
    <w:p>
      <w:pPr>
        <w:pStyle w:val="Heading2"/>
      </w:pPr>
      <w:r>
        <w:t xml:space="preserve">IV. Challenges in Zimbabwe Harare Banking Environment</w:t>
      </w:r>
    </w:p>
    <w:p>
      <w:pPr>
        <w:pStyle w:val="FirstParagraph"/>
      </w:pPr>
      <w:r>
        <w:t xml:space="preserve">Operating within Zimbabwe's unique economic landscape presents distinct challenges for any banker. The persistent currency volatility (ZWL depreciated 14% against USD during Q3) and inflation rate at 89% compounded our operational complexity. Our Harare branch faced significant pressure from:</w:t>
      </w:r>
    </w:p>
    <w:p>
      <w:pPr>
        <w:numPr>
          <w:ilvl w:val="0"/>
          <w:numId w:val="1001"/>
        </w:numPr>
        <w:pStyle w:val="Compact"/>
      </w:pPr>
      <w:r>
        <w:t xml:space="preserve">High customer churn due to liquidity constraints affecting small businesses</w:t>
      </w:r>
    </w:p>
    <w:p>
      <w:pPr>
        <w:numPr>
          <w:ilvl w:val="0"/>
          <w:numId w:val="1001"/>
        </w:numPr>
        <w:pStyle w:val="Compact"/>
      </w:pPr>
      <w:r>
        <w:t xml:space="preserve">Regulatory compliance costs increasing by 12% following the RBZ's new digital banking guidelines</w:t>
      </w:r>
    </w:p>
    <w:p>
      <w:pPr>
        <w:numPr>
          <w:ilvl w:val="0"/>
          <w:numId w:val="1001"/>
        </w:numPr>
        <w:pStyle w:val="Compact"/>
      </w:pPr>
      <w:r>
        <w:t xml:space="preserve">Competitive pricing pressures from fintech entrants targeting Harare's urban market</w:t>
      </w:r>
    </w:p>
    <w:bookmarkEnd w:id="26"/>
    <w:bookmarkStart w:id="27" w:name="Xd1ea297c78968498919c6352d060621bcebb7be"/>
    <w:p>
      <w:pPr>
        <w:pStyle w:val="Heading2"/>
      </w:pPr>
      <w:r>
        <w:t xml:space="preserve">V. Strategic Initiatives Implemented by the Banker Team</w:t>
      </w:r>
    </w:p>
    <w:p>
      <w:pPr>
        <w:pStyle w:val="FirstParagraph"/>
      </w:pPr>
      <w:r>
        <w:t xml:space="preserve">In response to these challenges, our Harare-based banker team executed three transformative initiatives:</w:t>
      </w:r>
    </w:p>
    <w:p>
      <w:pPr>
        <w:numPr>
          <w:ilvl w:val="0"/>
          <w:numId w:val="1002"/>
        </w:numPr>
        <w:pStyle w:val="Compact"/>
      </w:pPr>
      <w:r>
        <w:rPr>
          <w:bCs/>
          <w:b/>
        </w:rPr>
        <w:t xml:space="preserve">Harare Liquidity Support Program:</w:t>
      </w:r>
      <w:r>
        <w:t xml:space="preserve"> </w:t>
      </w:r>
      <w:r>
        <w:t xml:space="preserve">Introduced 90-day revolving credit facilities for SMEs with flexible repayment structures. This initiative generated ZWL 12.4M in new lending and retained 87% of at-risk corporate clients.</w:t>
      </w:r>
    </w:p>
    <w:p>
      <w:pPr>
        <w:numPr>
          <w:ilvl w:val="0"/>
          <w:numId w:val="1002"/>
        </w:numPr>
        <w:pStyle w:val="Compact"/>
      </w:pPr>
      <w:r>
        <w:rPr>
          <w:bCs/>
          <w:b/>
        </w:rPr>
        <w:t xml:space="preserve">Digital Onboarding Acceleration:</w:t>
      </w:r>
      <w:r>
        <w:t xml:space="preserve"> </w:t>
      </w:r>
      <w:r>
        <w:t xml:space="preserve">Reduced new account processing time from 7 days to under 24 hours using biometric verification. The banker team trained all frontline staff through Harare's first banking digital academy, resulting in a 30% increase in service efficiency.</w:t>
      </w:r>
    </w:p>
    <w:p>
      <w:pPr>
        <w:numPr>
          <w:ilvl w:val="0"/>
          <w:numId w:val="1002"/>
        </w:numPr>
        <w:pStyle w:val="Compact"/>
      </w:pPr>
      <w:r>
        <w:rPr>
          <w:bCs/>
          <w:b/>
        </w:rPr>
        <w:t xml:space="preserve">Community Financial Hub Network:</w:t>
      </w:r>
      <w:r>
        <w:t xml:space="preserve"> </w:t>
      </w:r>
      <w:r>
        <w:t xml:space="preserve">Established four neighborhood financial centers across high-density suburbs (Highfield, Mbare, Mount Pleasant), each staffed by local bankers. This grassroots approach increased our reach by 23% within previously underserved communities of Zimbabwe Harare.</w:t>
      </w:r>
    </w:p>
    <w:bookmarkEnd w:id="27"/>
    <w:bookmarkStart w:id="28" w:name="vi.-future-outlook-strategic-focus-areas"/>
    <w:p>
      <w:pPr>
        <w:pStyle w:val="Heading2"/>
      </w:pPr>
      <w:r>
        <w:t xml:space="preserve">VI. Future Outlook &amp; Strategic Focus Areas</w:t>
      </w:r>
    </w:p>
    <w:p>
      <w:pPr>
        <w:pStyle w:val="FirstParagraph"/>
      </w:pPr>
      <w:r>
        <w:t xml:space="preserve">Looking ahead to Q4 2023, our banker team will prioritize three strategic imperatives:</w:t>
      </w:r>
    </w:p>
    <w:p>
      <w:pPr>
        <w:numPr>
          <w:ilvl w:val="0"/>
          <w:numId w:val="1003"/>
        </w:numPr>
        <w:pStyle w:val="Compact"/>
      </w:pPr>
      <w:r>
        <w:rPr>
          <w:bCs/>
          <w:b/>
        </w:rPr>
        <w:t xml:space="preserve">SME Resilience Fund:</w:t>
      </w:r>
      <w:r>
        <w:t xml:space="preserve"> </w:t>
      </w:r>
      <w:r>
        <w:t xml:space="preserve">Launching a ZWL 50 million dedicated fund for Harare-based enterprises impacted by recent supply chain disruptions, targeting export-oriented manufacturers.</w:t>
      </w:r>
    </w:p>
    <w:p>
      <w:pPr>
        <w:numPr>
          <w:ilvl w:val="0"/>
          <w:numId w:val="1003"/>
        </w:numPr>
        <w:pStyle w:val="Compact"/>
      </w:pPr>
      <w:r>
        <w:rPr>
          <w:bCs/>
          <w:b/>
        </w:rPr>
        <w:t xml:space="preserve">Green Banking Integration:</w:t>
      </w:r>
      <w:r>
        <w:t xml:space="preserve"> </w:t>
      </w:r>
      <w:r>
        <w:t xml:space="preserve">Partnering with the Climate Change Department to develop carbon-tracking features for business loans, addressing growing environmental compliance demands in Zimbabwe Harare's corporate sector.</w:t>
      </w:r>
    </w:p>
    <w:p>
      <w:pPr>
        <w:numPr>
          <w:ilvl w:val="0"/>
          <w:numId w:val="1003"/>
        </w:numPr>
        <w:pStyle w:val="Compact"/>
      </w:pPr>
      <w:r>
        <w:rPr>
          <w:bCs/>
          <w:b/>
        </w:rPr>
        <w:t xml:space="preserve">Banker Talent Development:</w:t>
      </w:r>
      <w:r>
        <w:t xml:space="preserve"> </w:t>
      </w:r>
      <w:r>
        <w:t xml:space="preserve">Implementing an advanced certification program for all Harare bankers focusing on behavioral finance and AI-driven customer analytics, building future-ready banking capabilities within our local talent pool.</w:t>
      </w:r>
    </w:p>
    <w:bookmarkEnd w:id="28"/>
    <w:bookmarkStart w:id="29" w:name="vii.-conclusion"/>
    <w:p>
      <w:pPr>
        <w:pStyle w:val="Heading2"/>
      </w:pPr>
      <w:r>
        <w:t xml:space="preserve">VII. Conclusion</w:t>
      </w:r>
    </w:p>
    <w:p>
      <w:pPr>
        <w:pStyle w:val="FirstParagraph"/>
      </w:pPr>
      <w:r>
        <w:t xml:space="preserve">This Q3 Sales Report demonstrates that First Capital Bank's strategic focus in Zimbabwe Harare has successfully navigated economic volatility while delivering sustainable growth. The dedicated efforts of our banker teams—adapting to local market dynamics with innovative solutions—have positioned us as the preferred banking partner for both individual and corporate clients across the metropolitan area. Our sales performance metrics validate that when bankers understand Zimbabwe's unique financial landscape, they can drive exceptional results even in challenging environments.</w:t>
      </w:r>
    </w:p>
    <w:p>
      <w:pPr>
        <w:pStyle w:val="BodyText"/>
      </w:pPr>
      <w:r>
        <w:t xml:space="preserve">As we continue this journey, our commitment to Harare's economic development remains unwavering. The success of this quarter is not merely reflected in revenue figures but in the strengthened relationships with 127,300 active banking clients across Zimbabwe Harare—a testament to our banker ethos of community partnership and financial inclusion. We project continued growth trajectory for Q4, with targeted sales expectations at ZWL 165 million (USD 1.2 million), driven by the strategic initiatives implemented under our Harare branch leadership.</w:t>
      </w:r>
    </w:p>
    <w:p>
      <w:pPr>
        <w:pStyle w:val="BodyText"/>
      </w:pPr>
      <w:r>
        <w:rPr>
          <w:bCs/>
          <w:b/>
        </w:rPr>
        <w:t xml:space="preserve">Prepared By:</w:t>
      </w:r>
      <w:r>
        <w:t xml:space="preserve"> </w:t>
      </w:r>
      <w:r>
        <w:t xml:space="preserve">Tendai Muzinda, Senior Banker</w:t>
      </w:r>
      <w:r>
        <w:br/>
      </w:r>
      <w:r>
        <w:rPr>
          <w:bCs/>
          <w:b/>
        </w:rPr>
        <w:t xml:space="preserve">Harare Branch Manager, First Capital Bank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Zimbabwe Harare Banking Performance</dc:title>
  <dc:creator/>
  <dc:language>en</dc:language>
  <cp:keywords/>
  <dcterms:created xsi:type="dcterms:W3CDTF">2025-12-11T06:25:26Z</dcterms:created>
  <dcterms:modified xsi:type="dcterms:W3CDTF">2025-12-11T06:25:26Z</dcterms:modified>
</cp:coreProperties>
</file>

<file path=docProps/custom.xml><?xml version="1.0" encoding="utf-8"?>
<Properties xmlns="http://schemas.openxmlformats.org/officeDocument/2006/custom-properties" xmlns:vt="http://schemas.openxmlformats.org/officeDocument/2006/docPropsVTypes"/>
</file>