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Melbourne,</w:t>
      </w:r>
      <w:r>
        <w:t xml:space="preserve"> </w:t>
      </w:r>
      <w:r>
        <w:t xml:space="preserve">Australia</w:t>
      </w:r>
    </w:p>
    <w:bookmarkStart w:id="30" w:name="Xdaf6bd558590d5d9b886ad1c3e2a15e6f32d5a2"/>
    <w:p>
      <w:pPr>
        <w:pStyle w:val="Heading1"/>
      </w:pPr>
      <w:r>
        <w:t xml:space="preserve">Quarterly Sales Report: Biological Services &amp; Market Performance - Melbourne,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Melbourne Biological Solutions Division</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biological services across metropolitan Melbourne and Victoria. As a leading provider of environmental and life science solutions in Australia, our team of dedicated biologists has driven significant revenue growth through strategic client engagement and innovative service delivery. The quarter concluded with a 17% year-over-year sales increase, totaling AUD $4.2M, exceeding our target by 9%. This success stems directly from the specialized expertise of our Melbourne-based biologists who navigate complex regulatory landscapes while delivering scientifically rigorous solutions for clients across government, private sector, and research institutions. The report analyzes market dynamics in Australia's biological services sector with specific focus on Melbourne's unique ecosystem of opportunities and challenges.</w:t>
      </w:r>
    </w:p>
    <w:bookmarkEnd w:id="20"/>
    <w:bookmarkStart w:id="21" w:name="ii.-sales-performance-highlights"/>
    <w:p>
      <w:pPr>
        <w:pStyle w:val="Heading2"/>
      </w:pPr>
      <w:r>
        <w:t xml:space="preserve">II. Sales Performance Highlights</w:t>
      </w:r>
    </w:p>
    <w:p>
      <w:pPr>
        <w:pStyle w:val="FirstParagraph"/>
      </w:pPr>
      <w:r>
        <w:t xml:space="preserve">Our biological services division achieved remarkable growth during Q3 2023, with three core service lines driving performance:</w:t>
      </w:r>
    </w:p>
    <w:p>
      <w:pPr>
        <w:numPr>
          <w:ilvl w:val="0"/>
          <w:numId w:val="1001"/>
        </w:numPr>
        <w:pStyle w:val="Compact"/>
      </w:pPr>
      <w:r>
        <w:rPr>
          <w:bCs/>
          <w:b/>
        </w:rPr>
        <w:t xml:space="preserve">Biodiversity Assessment &amp; Conservation:</w:t>
      </w:r>
      <w:r>
        <w:t xml:space="preserve"> </w:t>
      </w:r>
      <w:r>
        <w:t xml:space="preserve">41% revenue share (AUD $1.7M) – fueled by Melbourne's urban expansion projects requiring environmental compliance under Victoria's Flora and Fauna Guarantee Act.</w:t>
      </w:r>
    </w:p>
    <w:p>
      <w:pPr>
        <w:numPr>
          <w:ilvl w:val="0"/>
          <w:numId w:val="1001"/>
        </w:numPr>
        <w:pStyle w:val="Compact"/>
      </w:pPr>
      <w:r>
        <w:rPr>
          <w:bCs/>
          <w:b/>
        </w:rPr>
        <w:t xml:space="preserve">Environmental Consulting:</w:t>
      </w:r>
      <w:r>
        <w:t xml:space="preserve"> </w:t>
      </w:r>
      <w:r>
        <w:t xml:space="preserve">32% revenue share (AUD $1.3M) – driven by demand for contamination remediation services following the 2023 Victorian Environmental Protection Authority (EPA) regulatory updates.</w:t>
      </w:r>
    </w:p>
    <w:p>
      <w:pPr>
        <w:numPr>
          <w:ilvl w:val="0"/>
          <w:numId w:val="1001"/>
        </w:numPr>
        <w:pStyle w:val="Compact"/>
      </w:pPr>
      <w:r>
        <w:rPr>
          <w:bCs/>
          <w:b/>
        </w:rPr>
        <w:t xml:space="preserve">Research &amp; Development Partnerships:</w:t>
      </w:r>
      <w:r>
        <w:t xml:space="preserve"> </w:t>
      </w:r>
      <w:r>
        <w:t xml:space="preserve">27% revenue share (AUD $1.2M) – secured through collaborations with Melbourne's major universities and biotech firms like CSL Behring and Monash University.</w:t>
      </w:r>
    </w:p>
    <w:p>
      <w:pPr>
        <w:pStyle w:val="FirstParagraph"/>
      </w:pPr>
      <w:r>
        <w:t xml:space="preserve">Notably, our Melbourne-based biologists achieved a 34% client retention rate among government contracts – significantly higher than the Australian industry average of 26%. This success directly results from our team's deep understanding of Melbourne's ecological context, including unique species like the critically endangered Helmeted Honeyeater and complex urban-wildlife interface challenges.</w:t>
      </w:r>
    </w:p>
    <w:bookmarkEnd w:id="21"/>
    <w:bookmarkStart w:id="22" w:name="X3f8c8fbb4e59ed6240e9e86f93c5f839bb9a953"/>
    <w:p>
      <w:pPr>
        <w:pStyle w:val="Heading2"/>
      </w:pPr>
      <w:r>
        <w:t xml:space="preserve">III. Market Analysis: Biological Services in Melbourne, Australia</w:t>
      </w:r>
    </w:p>
    <w:p>
      <w:pPr>
        <w:pStyle w:val="FirstParagraph"/>
      </w:pPr>
      <w:r>
        <w:t xml:space="preserve">Victoria's biological services market continues to expand at 8.3% CAGR (IBISWorld 2023), with Melbourne as the undisputed epicenter. This growth is propelled by:</w:t>
      </w:r>
    </w:p>
    <w:p>
      <w:pPr>
        <w:numPr>
          <w:ilvl w:val="0"/>
          <w:numId w:val="1002"/>
        </w:numPr>
        <w:pStyle w:val="Compact"/>
      </w:pPr>
      <w:r>
        <w:rPr>
          <w:bCs/>
          <w:b/>
        </w:rPr>
        <w:t xml:space="preserve">Government Initiatives:</w:t>
      </w:r>
      <w:r>
        <w:t xml:space="preserve"> </w:t>
      </w:r>
      <w:r>
        <w:t xml:space="preserve">The Victorian Government's 10-year biodiversity strategy "Nature for Cities" created AUD $650M in new contracting opportunities.</w:t>
      </w:r>
    </w:p>
    <w:p>
      <w:pPr>
        <w:numPr>
          <w:ilvl w:val="0"/>
          <w:numId w:val="1002"/>
        </w:numPr>
        <w:pStyle w:val="Compact"/>
      </w:pPr>
      <w:r>
        <w:rPr>
          <w:bCs/>
          <w:b/>
        </w:rPr>
        <w:t xml:space="preserve">Urban Development Pressures:</w:t>
      </w:r>
      <w:r>
        <w:t xml:space="preserve"> </w:t>
      </w:r>
      <w:r>
        <w:t xml:space="preserve">Melbourne's population growth (projected 3.2% annually) intensifies demand for ecological impact assessments across new infrastructure projects like the Suburban Rail Loop.</w:t>
      </w:r>
    </w:p>
    <w:p>
      <w:pPr>
        <w:pStyle w:val="FirstParagraph"/>
      </w:pPr>
      <w:r>
        <w:t xml:space="preserve">Key competitive differentiators observed in Australia's Melbourne market include:</w:t>
      </w:r>
    </w:p>
    <w:p>
      <w:pPr>
        <w:numPr>
          <w:ilvl w:val="0"/>
          <w:numId w:val="1003"/>
        </w:numPr>
        <w:pStyle w:val="Compact"/>
      </w:pPr>
      <w:r>
        <w:rPr>
          <w:bCs/>
          <w:b/>
        </w:rPr>
        <w:t xml:space="preserve">Regulatory Navigation:</w:t>
      </w:r>
      <w:r>
        <w:t xml:space="preserve"> </w:t>
      </w:r>
      <w:r>
        <w:t xml:space="preserve">Our biologists' expertise in Victorian planning permits (e.g., VCAT processes) reduced client compliance timelines by 28%.</w:t>
      </w:r>
    </w:p>
    <w:p>
      <w:pPr>
        <w:numPr>
          <w:ilvl w:val="0"/>
          <w:numId w:val="1003"/>
        </w:numPr>
        <w:pStyle w:val="Compact"/>
      </w:pPr>
      <w:r>
        <w:rPr>
          <w:bCs/>
          <w:b/>
        </w:rPr>
        <w:t xml:space="preserve">Technical Innovation:</w:t>
      </w:r>
      <w:r>
        <w:t xml:space="preserve"> </w:t>
      </w:r>
      <w:r>
        <w:t xml:space="preserve">Deployment of AI-powered species identification tools developed by our Melbourne R&amp;D team increased data accuracy by 40%.</w:t>
      </w:r>
    </w:p>
    <w:p>
      <w:pPr>
        <w:numPr>
          <w:ilvl w:val="0"/>
          <w:numId w:val="1003"/>
        </w:numPr>
        <w:pStyle w:val="Compact"/>
      </w:pPr>
      <w:r>
        <w:rPr>
          <w:bCs/>
          <w:b/>
        </w:rPr>
        <w:t xml:space="preserve">Community Engagement:</w:t>
      </w:r>
      <w:r>
        <w:t xml:space="preserve"> </w:t>
      </w:r>
      <w:r>
        <w:t xml:space="preserve">Biologists led community workshops on urban biodiversity projects, securing 15 new municipal contracts through trust-building.</w:t>
      </w:r>
    </w:p>
    <w:bookmarkEnd w:id="22"/>
    <w:bookmarkStart w:id="26" w:name="iv.-biologist-driven-success-stories"/>
    <w:p>
      <w:pPr>
        <w:pStyle w:val="Heading2"/>
      </w:pPr>
      <w:r>
        <w:t xml:space="preserve">IV. Biologist-Driven Success Stories</w:t>
      </w:r>
    </w:p>
    <w:p>
      <w:pPr>
        <w:pStyle w:val="FirstParagraph"/>
      </w:pPr>
      <w:r>
        <w:t xml:space="preserve">This quarter's top revenue-generating projects demonstrate how our biologists deliver commercial value:</w:t>
      </w:r>
    </w:p>
    <w:bookmarkStart w:id="23" w:name="Xa4229b7159241b1fe6aba2c23e6284c36393682"/>
    <w:p>
      <w:pPr>
        <w:pStyle w:val="Heading3"/>
      </w:pPr>
      <w:r>
        <w:t xml:space="preserve">A. City of Melbourne Urban Wildlife Corridors Project (AUD $850K)</w:t>
      </w:r>
    </w:p>
    <w:p>
      <w:pPr>
        <w:pStyle w:val="FirstParagraph"/>
      </w:pPr>
      <w:r>
        <w:t xml:space="preserve">Our lead biologist identified critical habitat gaps in Melbourne's urban landscape, proposing a cost-effective connectivity solution using native vegetation corridors. This approach reduced project costs by 22% versus traditional engineering solutions while meeting all Victorian government biodiversity targets. The client renewed the contract for three additional years.</w:t>
      </w:r>
    </w:p>
    <w:bookmarkEnd w:id="23"/>
    <w:bookmarkStart w:id="24" w:name="X78f252dc2611cba00df4b8e1e38bc91a4c3d82c"/>
    <w:p>
      <w:pPr>
        <w:pStyle w:val="Heading3"/>
      </w:pPr>
      <w:r>
        <w:t xml:space="preserve">B. Port of Melbourne Biosecurity Assessment (AUD $1,100K)</w:t>
      </w:r>
    </w:p>
    <w:p>
      <w:pPr>
        <w:pStyle w:val="FirstParagraph"/>
      </w:pPr>
      <w:r>
        <w:t xml:space="preserve">After a high-profile invasive species incident, our biologist team developed a bespoke monitoring protocol for cargo ships entering Victoria's port. The solution integrated real-time data from port authorities with our biologists' field expertise, securing the contract over international competitors through localized regulatory understanding.</w:t>
      </w:r>
    </w:p>
    <w:bookmarkEnd w:id="24"/>
    <w:bookmarkStart w:id="25" w:name="X9e8f79f9ca2f5c4869c8ecc96295c04e73e135f"/>
    <w:p>
      <w:pPr>
        <w:pStyle w:val="Heading3"/>
      </w:pPr>
      <w:r>
        <w:t xml:space="preserve">C. University of Melbourne Microbiome Research Partnership (AUD $650K)</w:t>
      </w:r>
    </w:p>
    <w:p>
      <w:pPr>
        <w:pStyle w:val="FirstParagraph"/>
      </w:pPr>
      <w:r>
        <w:t xml:space="preserve">Our Melbourne-based biologist identified emerging research needs in gut microbiome studies at local universities. By co-developing a specialized testing service with academic partners, we created a new revenue stream that now constitutes 12% of our R&amp;D division's income.</w:t>
      </w:r>
    </w:p>
    <w:bookmarkEnd w:id="25"/>
    <w:bookmarkEnd w:id="26"/>
    <w:bookmarkStart w:id="27" w:name="v.-challenges-strategic-response"/>
    <w:p>
      <w:pPr>
        <w:pStyle w:val="Heading2"/>
      </w:pPr>
      <w:r>
        <w:t xml:space="preserve">V. Challenges &amp; Strategic Response</w:t>
      </w:r>
    </w:p>
    <w:p>
      <w:pPr>
        <w:pStyle w:val="FirstParagraph"/>
      </w:pPr>
      <w:r>
        <w:t xml:space="preserve">While market conditions remain favorable, Melbourne-specific challenges required adaptive solutions:</w:t>
      </w:r>
    </w:p>
    <w:p>
      <w:pPr>
        <w:numPr>
          <w:ilvl w:val="0"/>
          <w:numId w:val="1004"/>
        </w:numPr>
        <w:pStyle w:val="Compact"/>
      </w:pPr>
      <w:r>
        <w:rPr>
          <w:bCs/>
          <w:b/>
        </w:rPr>
        <w:t xml:space="preserve">Regulatory Uncertainty:</w:t>
      </w:r>
      <w:r>
        <w:t xml:space="preserve"> </w:t>
      </w:r>
      <w:r>
        <w:t xml:space="preserve">Changes to Victorian planning laws mid-quarter caused client delays. Our biologists proactively hosted 12 regulatory briefings for clients, mitigating revenue impact by 94%.</w:t>
      </w:r>
    </w:p>
    <w:p>
      <w:pPr>
        <w:numPr>
          <w:ilvl w:val="0"/>
          <w:numId w:val="1004"/>
        </w:numPr>
        <w:pStyle w:val="Compact"/>
      </w:pPr>
      <w:r>
        <w:rPr>
          <w:bCs/>
          <w:b/>
        </w:rPr>
        <w:t xml:space="preserve">Talent Competition:</w:t>
      </w:r>
      <w:r>
        <w:t xml:space="preserve"> </w:t>
      </w:r>
      <w:r>
        <w:t xml:space="preserve">Increased bidding for biological talent from Melbourne's biotech startups. Implemented a "Field Scientist Scholarship Program" with RMIT University, securing 3 new graduates to augment our team.</w:t>
      </w:r>
    </w:p>
    <w:p>
      <w:pPr>
        <w:numPr>
          <w:ilvl w:val="0"/>
          <w:numId w:val="1004"/>
        </w:numPr>
        <w:pStyle w:val="Compact"/>
      </w:pPr>
      <w:r>
        <w:rPr>
          <w:bCs/>
          <w:b/>
        </w:rPr>
        <w:t xml:space="preserve">Climate Impact:</w:t>
      </w:r>
      <w:r>
        <w:t xml:space="preserve"> </w:t>
      </w:r>
      <w:r>
        <w:t xml:space="preserve">Unprecedented summer heatwaves disrupted fieldwork. Biologists redesigned protocols using drone-based monitoring (developed in-house), maintaining 98% project completion rates.</w:t>
      </w:r>
    </w:p>
    <w:bookmarkEnd w:id="27"/>
    <w:bookmarkStart w:id="28" w:name="X48a3540cc71183f6ffa2a92d6b979fc3f8285dd"/>
    <w:p>
      <w:pPr>
        <w:pStyle w:val="Heading2"/>
      </w:pPr>
      <w:r>
        <w:t xml:space="preserve">VI. Future Outlook for Melbourne Biological Services</w:t>
      </w:r>
    </w:p>
    <w:p>
      <w:pPr>
        <w:pStyle w:val="FirstParagraph"/>
      </w:pPr>
      <w:r>
        <w:t xml:space="preserve">The Australian biological services market shows strong potential, with Melbourne poised for accelerated growth through:</w:t>
      </w:r>
    </w:p>
    <w:p>
      <w:pPr>
        <w:numPr>
          <w:ilvl w:val="0"/>
          <w:numId w:val="1005"/>
        </w:numPr>
        <w:pStyle w:val="Compact"/>
      </w:pPr>
      <w:r>
        <w:rPr>
          <w:bCs/>
          <w:b/>
        </w:rPr>
        <w:t xml:space="preserve">Climate Resilience Projects:</w:t>
      </w:r>
      <w:r>
        <w:t xml:space="preserve"> </w:t>
      </w:r>
      <w:r>
        <w:t xml:space="preserve">Victoria's new Climate Adaptation Fund (AUD $150M) creates immediate opportunities for biologists specializing in ecosystem restoration.</w:t>
      </w:r>
    </w:p>
    <w:p>
      <w:pPr>
        <w:numPr>
          <w:ilvl w:val="0"/>
          <w:numId w:val="1005"/>
        </w:numPr>
        <w:pStyle w:val="Compact"/>
      </w:pPr>
      <w:r>
        <w:rPr>
          <w:bCs/>
          <w:b/>
        </w:rPr>
        <w:t xml:space="preserve">Genomic Health Initiatives:</w:t>
      </w:r>
      <w:r>
        <w:t xml:space="preserve"> </w:t>
      </w:r>
      <w:r>
        <w:t xml:space="preserve">Melbourne's emerging genomics sector (e.g., Australian Genome Research Facility) demands specialized biological expertise for commercial applications.</w:t>
      </w:r>
    </w:p>
    <w:p>
      <w:pPr>
        <w:numPr>
          <w:ilvl w:val="0"/>
          <w:numId w:val="1005"/>
        </w:numPr>
        <w:pStyle w:val="Compact"/>
      </w:pPr>
      <w:r>
        <w:rPr>
          <w:bCs/>
          <w:b/>
        </w:rPr>
        <w:t xml:space="preserve">Sustainable Infrastructure:</w:t>
      </w:r>
      <w:r>
        <w:t xml:space="preserve"> </w:t>
      </w:r>
      <w:r>
        <w:t xml:space="preserve">All major Victorian infrastructure projects now require mandatory biodiversity net gain assessments – a service our biologists have perfected.</w:t>
      </w:r>
    </w:p>
    <w:p>
      <w:pPr>
        <w:pStyle w:val="FirstParagraph"/>
      </w:pPr>
      <w:r>
        <w:t xml:space="preserve">Our strategic focus for Q4 2023 includes expanding our Melbourne-based biologist network by 15%, targeting the emerging field of urban ecology. We will establish a dedicated "Melbourne Biological Solutions Hub" within our Docklands office to centralize knowledge of Victorian environmental regulations and local species databases.</w:t>
      </w:r>
    </w:p>
    <w:bookmarkEnd w:id="28"/>
    <w:bookmarkStart w:id="29" w:name="vii.-conclusion"/>
    <w:p>
      <w:pPr>
        <w:pStyle w:val="Heading2"/>
      </w:pPr>
      <w:r>
        <w:t xml:space="preserve">VII. Conclusion</w:t>
      </w:r>
    </w:p>
    <w:p>
      <w:pPr>
        <w:pStyle w:val="FirstParagraph"/>
      </w:pPr>
      <w:r>
        <w:t xml:space="preserve">The Q3 2023 Sales Report underscores how Melbourne-based biologists drive commercial success in Australia's biological services sector. By combining deep scientific expertise with market-specific insights into Victoria's regulatory environment and ecological challenges, our team has consistently outperformed industry benchmarks. The 17% revenue growth demonstrates that specialized biological knowledge directly translates to competitive advantage in Melbourne's complex business landscape.</w:t>
      </w:r>
    </w:p>
    <w:p>
      <w:pPr>
        <w:pStyle w:val="BodyText"/>
      </w:pPr>
      <w:r>
        <w:t xml:space="preserve">As Australia navigates its environmental transition goals, the role of the biologist evolves from traditional scientist to strategic business partner. Our Melbourne operation exemplifies this shift – where every biological assessment we conduct contributes not only to ecological outcomes but also to measurable commercial results. We are confident that our biologists' unique combination of field experience and market acumen will continue positioning Melbourne as Australia's premier hub for innovative biological services.</w:t>
      </w:r>
    </w:p>
    <w:p>
      <w:pPr>
        <w:pStyle w:val="BodyText"/>
      </w:pPr>
      <w:r>
        <w:rPr>
          <w:bCs/>
          <w:b/>
        </w:rPr>
        <w:t xml:space="preserve">Prepared By:</w:t>
      </w:r>
      <w:r>
        <w:t xml:space="preserve"> </w:t>
      </w:r>
      <w:r>
        <w:t xml:space="preserve">Dr. Eleanor Chen, Director of Biological Services, Melbourne</w:t>
      </w:r>
      <w:r>
        <w:br/>
      </w:r>
      <w:r>
        <w:rPr>
          <w:bCs/>
          <w:b/>
        </w:rPr>
        <w:t xml:space="preserve">Contact:</w:t>
      </w:r>
      <w:r>
        <w:t xml:space="preserve"> </w:t>
      </w:r>
      <w:r>
        <w:t xml:space="preserve">e.chen@melbournebiological.com | +61 3 9000 2345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Biological Services &amp; Market Analysis | Melbourne, Australia</dc:title>
  <dc:creator/>
  <dc:language>en</dc:language>
  <cp:keywords/>
  <dcterms:created xsi:type="dcterms:W3CDTF">2025-12-15T21:58:25Z</dcterms:created>
  <dcterms:modified xsi:type="dcterms:W3CDTF">2025-12-15T21:58:25Z</dcterms:modified>
</cp:coreProperties>
</file>

<file path=docProps/custom.xml><?xml version="1.0" encoding="utf-8"?>
<Properties xmlns="http://schemas.openxmlformats.org/officeDocument/2006/custom-properties" xmlns:vt="http://schemas.openxmlformats.org/officeDocument/2006/docPropsVTypes"/>
</file>