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7" w:name="X0338d25610fe28a57ec0c34611640f0cc4e1102"/>
    <w:p>
      <w:pPr>
        <w:pStyle w:val="Heading1"/>
      </w:pPr>
      <w:r>
        <w:t xml:space="preserve">Annual Sales Report: Biologist Services and Market Analysis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biologist-driven services across Germany Berlin during the fiscal year 2023. As a leading provider of biological consulting and environmental solutions, our operations in Germany Berlin have demonstrated significant growth, driven by strategic investments in specialized biologist talent and alignment with regional sustainability initiatives. The German market—particularly Berlin's dynamic scientific ecosystem—has proven pivotal to our expansion. This report confirms that our commitment to deploying expert biologists has directly enhanced client acquisition, project retention, and revenue growth within Germany Berlin.</w:t>
      </w:r>
    </w:p>
    <w:bookmarkEnd w:id="20"/>
    <w:bookmarkStart w:id="21" w:name="ii.-sales-performance-overview"/>
    <w:p>
      <w:pPr>
        <w:pStyle w:val="Heading2"/>
      </w:pPr>
      <w:r>
        <w:t xml:space="preserve">II. Sales Performance Overview</w:t>
      </w:r>
    </w:p>
    <w:p>
      <w:pPr>
        <w:pStyle w:val="FirstParagraph"/>
      </w:pPr>
      <w:r>
        <w:t xml:space="preserve">For the year 2023, total sales revenue generated through biologist-led services in Germany Berlin reached €4.8 million, representing a 37% year-over-year increase. This growth stems from three core segments:</w:t>
      </w:r>
    </w:p>
    <w:p>
      <w:pPr>
        <w:numPr>
          <w:ilvl w:val="0"/>
          <w:numId w:val="1001"/>
        </w:numPr>
        <w:pStyle w:val="Compact"/>
      </w:pPr>
      <w:r>
        <w:rPr>
          <w:bCs/>
          <w:b/>
        </w:rPr>
        <w:t xml:space="preserve">Environmental Compliance Services:</w:t>
      </w:r>
      <w:r>
        <w:t xml:space="preserve"> </w:t>
      </w:r>
      <w:r>
        <w:t xml:space="preserve">€1.9M (28% YoY growth) – Focused on GDPR-compliant ecological assessments for Berlin’s construction sector.</w:t>
      </w:r>
    </w:p>
    <w:p>
      <w:pPr>
        <w:numPr>
          <w:ilvl w:val="0"/>
          <w:numId w:val="1001"/>
        </w:numPr>
        <w:pStyle w:val="Compact"/>
      </w:pPr>
      <w:r>
        <w:rPr>
          <w:bCs/>
          <w:b/>
        </w:rPr>
        <w:t xml:space="preserve">Biodiversity Conservation Projects:</w:t>
      </w:r>
      <w:r>
        <w:t xml:space="preserve"> </w:t>
      </w:r>
      <w:r>
        <w:t xml:space="preserve">€1.7M (42% YoY growth) – Collaborations with Berlin City Administration and NGOs on urban habitat restoration.</w:t>
      </w:r>
    </w:p>
    <w:p>
      <w:pPr>
        <w:pStyle w:val="FirstParagraph"/>
      </w:pPr>
      <w:r>
        <w:t xml:space="preserve">The Sales Report attributes 78% of this growth to the strategic deployment of our biologist workforce. Each project team includes at least one senior biologist certified by the German Federal Institute for Occupational Safety and Health (BAuA), ensuring compliance with</w:t>
      </w:r>
      <w:r>
        <w:t xml:space="preserve"> </w:t>
      </w:r>
      <w:r>
        <w:rPr>
          <w:iCs/>
          <w:i/>
        </w:rPr>
        <w:t xml:space="preserve">Biologische Sicherheitsverordnung</w:t>
      </w:r>
      <w:r>
        <w:t xml:space="preserve"> </w:t>
      </w:r>
      <w:r>
        <w:t xml:space="preserve">(BioSafety Ordinance) – a critical factor in winning government contracts across Germany Berlin.</w:t>
      </w:r>
    </w:p>
    <w:bookmarkEnd w:id="21"/>
    <w:bookmarkStart w:id="22" w:name="iii.-germany-berlin-market-analysis"/>
    <w:p>
      <w:pPr>
        <w:pStyle w:val="Heading2"/>
      </w:pPr>
      <w:r>
        <w:t xml:space="preserve">III. Germany Berlin Market Analysis</w:t>
      </w:r>
    </w:p>
    <w:p>
      <w:pPr>
        <w:pStyle w:val="FirstParagraph"/>
      </w:pPr>
      <w:r>
        <w:t xml:space="preserve">Berlin’s position as Europe’s biotech capital (home to 1,200+ life science companies) has amplified demand for specialized biologist services. Key trends observed in the Germany Berlin market include:</w:t>
      </w:r>
    </w:p>
    <w:p>
      <w:pPr>
        <w:numPr>
          <w:ilvl w:val="0"/>
          <w:numId w:val="1002"/>
        </w:numPr>
        <w:pStyle w:val="Compact"/>
      </w:pPr>
      <w:r>
        <w:rPr>
          <w:bCs/>
          <w:b/>
        </w:rPr>
        <w:t xml:space="preserve">Policy Catalyst:</w:t>
      </w:r>
      <w:r>
        <w:t xml:space="preserve"> </w:t>
      </w:r>
      <w:r>
        <w:t xml:space="preserve">Berlin’s "Green City Strategy 2030" mandates ecological impact assessments for all commercial developments, creating a sustained pipeline for our biologist teams.</w:t>
      </w:r>
    </w:p>
    <w:p>
      <w:pPr>
        <w:numPr>
          <w:ilvl w:val="0"/>
          <w:numId w:val="1002"/>
        </w:numPr>
        <w:pStyle w:val="Compact"/>
      </w:pPr>
      <w:r>
        <w:rPr>
          <w:bCs/>
          <w:b/>
        </w:rPr>
        <w:t xml:space="preserve">Startup Boom:</w:t>
      </w:r>
      <w:r>
        <w:t xml:space="preserve"> </w:t>
      </w:r>
      <w:r>
        <w:t xml:space="preserve">24% of Berlin biotech startups (per Startup Genome 2023) sought biologist expertise in Q3–Q4 2023, primarily for regulatory approvals and ESG reporting.</w:t>
      </w:r>
    </w:p>
    <w:p>
      <w:pPr>
        <w:numPr>
          <w:ilvl w:val="0"/>
          <w:numId w:val="1002"/>
        </w:numPr>
        <w:pStyle w:val="Compact"/>
      </w:pPr>
      <w:r>
        <w:rPr>
          <w:bCs/>
          <w:b/>
        </w:rPr>
        <w:t xml:space="preserve">Competitive Landscape:</w:t>
      </w:r>
      <w:r>
        <w:t xml:space="preserve"> </w:t>
      </w:r>
      <w:r>
        <w:t xml:space="preserve">While international firms dominate large contracts, local Berlin-based biologist consultancies like ours captured 65% of mid-sized municipal projects through agile, German-language service delivery.</w:t>
      </w:r>
    </w:p>
    <w:p>
      <w:pPr>
        <w:pStyle w:val="FirstParagraph"/>
      </w:pPr>
      <w:r>
        <w:t xml:space="preserve">A critical insight from our Sales Report: Clients in Germany Berlin prioritize biologists with dual expertise in EU environmental regulations and local ecological knowledge. For example, a €350k project for the Berlin Senate Department for Urban Development required a biologist fluent in</w:t>
      </w:r>
      <w:r>
        <w:t xml:space="preserve"> </w:t>
      </w:r>
      <w:r>
        <w:rPr>
          <w:iCs/>
          <w:i/>
        </w:rPr>
        <w:t xml:space="preserve">Verwaltungsverfahrensgesetz</w:t>
      </w:r>
      <w:r>
        <w:t xml:space="preserve"> </w:t>
      </w:r>
      <w:r>
        <w:t xml:space="preserve">(Administrative Procedures Act) – a skill set we exclusively provide.</w:t>
      </w:r>
    </w:p>
    <w:bookmarkEnd w:id="22"/>
    <w:bookmarkStart w:id="23" w:name="iv.-biologist-workforce-impact"/>
    <w:p>
      <w:pPr>
        <w:pStyle w:val="Heading2"/>
      </w:pPr>
      <w:r>
        <w:t xml:space="preserve">IV. Biologist Workforce Impact</w:t>
      </w:r>
    </w:p>
    <w:p>
      <w:pPr>
        <w:pStyle w:val="FirstParagraph"/>
      </w:pPr>
      <w:r>
        <w:t xml:space="preserve">The success of this Sales Report hinges on our biologist team’s operational excellence. In Germany Berlin, we deployed 18 full-time biologists with the following metrics:</w:t>
      </w:r>
    </w:p>
    <w:p>
      <w:pPr>
        <w:pStyle w:val="BodyText"/>
      </w:pPr>
      <w:r>
        <w:t xml:space="preserve">Performance Metric</w:t>
      </w:r>
    </w:p>
    <w:p>
      <w:pPr>
        <w:pStyle w:val="BodyText"/>
      </w:pPr>
      <w:r>
        <w:t xml:space="preserve">2023 Result</w:t>
      </w:r>
    </w:p>
    <w:p>
      <w:pPr>
        <w:pStyle w:val="BodyText"/>
      </w:pPr>
      <w:r>
        <w:t xml:space="preserve">Industry Benchmark</w:t>
      </w:r>
    </w:p>
    <w:p>
      <w:pPr>
        <w:pStyle w:val="BodyText"/>
      </w:pPr>
      <w:r>
        <w:t xml:space="preserve">Client Retention Rate</w:t>
      </w:r>
    </w:p>
    <w:p>
      <w:pPr>
        <w:pStyle w:val="BodyText"/>
      </w:pPr>
      <w:r>
        <w:t xml:space="preserve">92%</w:t>
      </w:r>
    </w:p>
    <w:p>
      <w:pPr>
        <w:pStyle w:val="BodyText"/>
      </w:pPr>
      <w:r>
        <w:t xml:space="preserve">76%</w:t>
      </w:r>
    </w:p>
    <w:p>
      <w:pPr>
        <w:pStyle w:val="BodyText"/>
      </w:pPr>
      <w:r>
        <w:t xml:space="preserve">Average Project Profit Margin</w:t>
      </w:r>
    </w:p>
    <w:p>
      <w:pPr>
        <w:pStyle w:val="BodyText"/>
      </w:pPr>
      <w:r>
        <w:t xml:space="preserve">48%</w:t>
      </w:r>
    </w:p>
    <w:p>
      <w:pPr>
        <w:pStyle w:val="BodyText"/>
      </w:pPr>
      <w:r>
        <w:t xml:space="preserve">&lt;</w:t>
      </w:r>
    </w:p>
    <w:p>
      <w:pPr>
        <w:pStyle w:val="BodyText"/>
      </w:pPr>
      <w:r>
        <w:t xml:space="preserve">35%</w:t>
      </w:r>
    </w:p>
    <w:p>
      <w:pPr>
        <w:pStyle w:val="BodyText"/>
      </w:pPr>
      <w:r>
        <w:t xml:space="preserve">New Client Acquisition (Berlin)</w:t>
      </w:r>
    </w:p>
    <w:p>
      <w:pPr>
        <w:pStyle w:val="BodyText"/>
      </w:pPr>
      <w:r>
        <w:t xml:space="preserve">41</w:t>
      </w:r>
    </w:p>
    <w:p>
      <w:pPr>
        <w:pStyle w:val="BodyText"/>
      </w:pPr>
      <w:r>
        <w:br/>
      </w:r>
    </w:p>
    <w:p>
      <w:pPr>
        <w:pStyle w:val="BodyText"/>
      </w:pPr>
      <w:r>
        <w:t xml:space="preserve">(28% YoY)</w:t>
      </w:r>
    </w:p>
    <w:p>
      <w:pPr>
        <w:pStyle w:val="BodyText"/>
      </w:pPr>
      <w:r>
        <w:t xml:space="preserve">Crucially, biologists in Germany Berlin achieved 3.2x more cross-sell opportunities than non-specialized staff. A case in point: During a soil remediation project for a Berlin-based pharmaceutical firm, our biologist identified an unexpected mycological risk, leading to a €180k add-on service contract for fungal monitoring.</w:t>
      </w:r>
    </w:p>
    <w:bookmarkEnd w:id="23"/>
    <w:bookmarkStart w:id="24" w:name="v.-challenges-strategic-response"/>
    <w:p>
      <w:pPr>
        <w:pStyle w:val="Heading2"/>
      </w:pPr>
      <w:r>
        <w:t xml:space="preserve">V. Challenges &amp; Strategic Response</w:t>
      </w:r>
    </w:p>
    <w:p>
      <w:pPr>
        <w:pStyle w:val="FirstParagraph"/>
      </w:pPr>
      <w:r>
        <w:t xml:space="preserve">Despite strong results, the Sales Report identifies two critical challenges specific to Germany Berlin:</w:t>
      </w:r>
    </w:p>
    <w:p>
      <w:pPr>
        <w:numPr>
          <w:ilvl w:val="0"/>
          <w:numId w:val="1003"/>
        </w:numPr>
        <w:pStyle w:val="Compact"/>
      </w:pPr>
      <w:r>
        <w:rPr>
          <w:bCs/>
          <w:b/>
        </w:rPr>
        <w:t xml:space="preserve">Regulatory Complexity:</w:t>
      </w:r>
      <w:r>
        <w:t xml:space="preserve"> </w:t>
      </w:r>
      <w:r>
        <w:t xml:space="preserve">Berlin’s municipal environmental laws (e.g.,</w:t>
      </w:r>
      <w:r>
        <w:t xml:space="preserve"> </w:t>
      </w:r>
      <w:r>
        <w:rPr>
          <w:iCs/>
          <w:i/>
        </w:rPr>
        <w:t xml:space="preserve">Berliner Naturschutzgesetz</w:t>
      </w:r>
      <w:r>
        <w:t xml:space="preserve">) differ from federal standards. Our solution: Implemented a "Berlin Compliance Tracker" – a digital tool co-developed with biologists that alerts teams to regional policy updates, reducing project delays by 33%.</w:t>
      </w:r>
    </w:p>
    <w:p>
      <w:pPr>
        <w:numPr>
          <w:ilvl w:val="0"/>
          <w:numId w:val="1003"/>
        </w:numPr>
        <w:pStyle w:val="Compact"/>
      </w:pPr>
      <w:r>
        <w:rPr>
          <w:bCs/>
          <w:b/>
        </w:rPr>
        <w:t xml:space="preserve">Talent Competition:</w:t>
      </w:r>
      <w:r>
        <w:t xml:space="preserve"> </w:t>
      </w:r>
      <w:r>
        <w:t xml:space="preserve">Berlin’s biotech sector attracted 19% more biologist job seekers in 2023. Our countermeasure: Launched the "Biologist in Berlin" fellowship program offering subsidized housing and local mentorship, reducing recruitment costs by 25%.</w:t>
      </w:r>
    </w:p>
    <w:bookmarkEnd w:id="24"/>
    <w:bookmarkStart w:id="25" w:name="vi.-future-outlook-investment-priorities"/>
    <w:p>
      <w:pPr>
        <w:pStyle w:val="Heading2"/>
      </w:pPr>
      <w:r>
        <w:t xml:space="preserve">VI. Future Outlook &amp; Investment Priorities</w:t>
      </w:r>
    </w:p>
    <w:p>
      <w:pPr>
        <w:pStyle w:val="FirstParagraph"/>
      </w:pPr>
      <w:r>
        <w:t xml:space="preserve">Based on this Sales Report, our 2024 strategy for Germany Berlin centers on three pillars:</w:t>
      </w:r>
    </w:p>
    <w:p>
      <w:pPr>
        <w:numPr>
          <w:ilvl w:val="0"/>
          <w:numId w:val="1004"/>
        </w:numPr>
        <w:pStyle w:val="Compact"/>
      </w:pPr>
      <w:r>
        <w:rPr>
          <w:bCs/>
          <w:b/>
        </w:rPr>
        <w:t xml:space="preserve">Deepen Berlin Ecosystem Partnerships:</w:t>
      </w:r>
      <w:r>
        <w:t xml:space="preserve"> </w:t>
      </w:r>
      <w:r>
        <w:t xml:space="preserve">Co-fund research with Humboldt University’s Institute of Biology to develop AI-driven biodiversity metrics – directly addressing a €1.8M demand signal from Berlin Senate.</w:t>
      </w:r>
    </w:p>
    <w:p>
      <w:pPr>
        <w:numPr>
          <w:ilvl w:val="0"/>
          <w:numId w:val="1004"/>
        </w:numPr>
        <w:pStyle w:val="Compact"/>
      </w:pPr>
      <w:r>
        <w:rPr>
          <w:bCs/>
          <w:b/>
        </w:rPr>
        <w:t xml:space="preserve">Expand Biologist Training:</w:t>
      </w:r>
      <w:r>
        <w:t xml:space="preserve"> </w:t>
      </w:r>
      <w:r>
        <w:t xml:space="preserve">Launch "Berlin Biologist Certification" program for junior staff, focusing on local regulatory frameworks. This will increase our capacity to handle 20+ new municipal contracts annually.</w:t>
      </w:r>
    </w:p>
    <w:p>
      <w:pPr>
        <w:numPr>
          <w:ilvl w:val="0"/>
          <w:numId w:val="1004"/>
        </w:numPr>
        <w:pStyle w:val="Compact"/>
      </w:pPr>
      <w:r>
        <w:rPr>
          <w:bCs/>
          <w:b/>
        </w:rPr>
        <w:t xml:space="preserve">Leverage Sustainability Trends:</w:t>
      </w:r>
      <w:r>
        <w:t xml:space="preserve"> </w:t>
      </w:r>
      <w:r>
        <w:t xml:space="preserve">Target Berlin’s renewable energy projects (e.g., solar farms in Brandenburg) requiring biologist-led ecological impact assessments – projected to generate €2.3M in 2024 revenue.</w:t>
      </w:r>
    </w:p>
    <w:bookmarkEnd w:id="25"/>
    <w:bookmarkStart w:id="26" w:name="vii.-conclusion"/>
    <w:p>
      <w:pPr>
        <w:pStyle w:val="Heading2"/>
      </w:pPr>
      <w:r>
        <w:t xml:space="preserve">VII. Conclusion</w:t>
      </w:r>
    </w:p>
    <w:p>
      <w:pPr>
        <w:pStyle w:val="FirstParagraph"/>
      </w:pPr>
      <w:r>
        <w:t xml:space="preserve">The 2023 Sales Report unequivocally demonstrates that biologists are not merely service providers but strategic growth drivers for our Germany Berlin operations. Our biologist-led approach has secured premium contracts, navigated complex local regulations, and positioned us as the preferred partner for sustainability-focused clients across Berlin. As Berlin accelerates its climate neutrality goals by 2045, the demand for expert biologists will only intensify. We recommend doubling down on biologist talent development in Germany Berlin to capture an estimated €8.7M market opportunity in this segment by 2025.</w:t>
      </w:r>
    </w:p>
    <w:p>
      <w:pPr>
        <w:pStyle w:val="BodyText"/>
      </w:pPr>
      <w:r>
        <w:t xml:space="preserve">In closing, this Sales Report affirms that embedding a biologist at every client interaction – from initial consultation to project delivery – is the cornerstone of our success story in Germany Berlin. The synergy between scientific expertise and local market intelligence has transformed our business model, making us indispensable to Berlin’s ecological transition.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Biologist Services in Germany Berlin</dc:title>
  <dc:creator/>
  <dc:language>en</dc:language>
  <cp:keywords/>
  <dcterms:created xsi:type="dcterms:W3CDTF">2025-12-16T08:43:15Z</dcterms:created>
  <dcterms:modified xsi:type="dcterms:W3CDTF">2025-12-16T08:43:15Z</dcterms:modified>
</cp:coreProperties>
</file>

<file path=docProps/custom.xml><?xml version="1.0" encoding="utf-8"?>
<Properties xmlns="http://schemas.openxmlformats.org/officeDocument/2006/custom-properties" xmlns:vt="http://schemas.openxmlformats.org/officeDocument/2006/docPropsVTypes"/>
</file>