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Report:</w:t>
      </w:r>
      <w:r>
        <w:t xml:space="preserve"> </w:t>
      </w:r>
      <w:r>
        <w:t xml:space="preserve">Jakarta</w:t>
      </w:r>
      <w:r>
        <w:t xml:space="preserve"> </w:t>
      </w:r>
      <w:r>
        <w:t xml:space="preserve">Operations</w:t>
      </w:r>
      <w:r>
        <w:t xml:space="preserve"> </w:t>
      </w:r>
      <w:r>
        <w:t xml:space="preserve">-</w:t>
      </w:r>
      <w:r>
        <w:t xml:space="preserve"> </w:t>
      </w:r>
      <w:r>
        <w:t xml:space="preserve">Indonesia</w:t>
      </w:r>
    </w:p>
    <w:bookmarkStart w:id="28" w:name="Xc6f5d239aff5a99afcebea4d47ad80ec92d3b90"/>
    <w:p>
      <w:pPr>
        <w:pStyle w:val="Heading1"/>
      </w:pPr>
      <w:r>
        <w:t xml:space="preserve">Comprehensive Sales Report: Biologist-Driven Solutions for Jakarta, Indonesia Market</w:t>
      </w:r>
    </w:p>
    <w:bookmarkStart w:id="20" w:name="X8948da0969594cd6c354b147d17e6e9fba61f7b"/>
    <w:p>
      <w:pPr>
        <w:pStyle w:val="Heading2"/>
      </w:pPr>
      <w:r>
        <w:t xml:space="preserve">Prepared For: BioDynamics Indonesia Management Team</w:t>
      </w:r>
    </w:p>
    <w:p>
      <w:pPr>
        <w:pStyle w:val="FirstParagraph"/>
      </w:pPr>
      <w:r>
        <w:rPr>
          <w:bCs/>
          <w:b/>
        </w:rPr>
        <w:t xml:space="preserve">Date:</w:t>
      </w:r>
      <w:r>
        <w:t xml:space="preserve"> </w:t>
      </w:r>
      <w:r>
        <w:t xml:space="preserve">October 26, 2023</w:t>
      </w:r>
      <w:r>
        <w:br/>
      </w:r>
      <w:r>
        <w:rPr>
          <w:bCs/>
          <w:b/>
        </w:rPr>
        <w:t xml:space="preserve">Report Period:</w:t>
      </w:r>
      <w:r>
        <w:t xml:space="preserve"> </w:t>
      </w:r>
      <w:r>
        <w:t xml:space="preserve">Q3 2023 (July 1 - September 30, 2023)</w:t>
      </w:r>
      <w:r>
        <w:br/>
      </w:r>
      <w:r>
        <w:rPr>
          <w:bCs/>
          <w:b/>
        </w:rPr>
        <w:t xml:space="preserve">Prepared By:</w:t>
      </w:r>
      <w:r>
        <w:t xml:space="preserve"> </w:t>
      </w:r>
      <w:r>
        <w:t xml:space="preserve">Dr. Ani Wijaya, Senior Biologist &amp; Sales Director</w:t>
      </w:r>
    </w:p>
    <w:bookmarkEnd w:id="20"/>
    <w:bookmarkStart w:id="21" w:name="i.-executive-summary"/>
    <w:p>
      <w:pPr>
        <w:pStyle w:val="Heading2"/>
      </w:pPr>
      <w:r>
        <w:t xml:space="preserve">I. Executive Summary</w:t>
      </w:r>
    </w:p>
    <w:p>
      <w:pPr>
        <w:pStyle w:val="FirstParagraph"/>
      </w:pPr>
      <w:r>
        <w:t xml:space="preserve">This report details the sales performance of BioDynamics Indonesia's biologist-led service portfolio across Jakarta, Indonesia during Q3 2023. As a specialized environmental biotechnology firm operating within Indonesia's rapidly evolving ecological sector, our Jakarta operations have achieved remarkable growth through the unique integration of biological expertise with strategic sales approaches. The quarter demonstrated a</w:t>
      </w:r>
      <w:r>
        <w:t xml:space="preserve"> </w:t>
      </w:r>
      <w:r>
        <w:rPr>
          <w:bCs/>
          <w:b/>
        </w:rPr>
        <w:t xml:space="preserve">18.7% year-over-year revenue increase</w:t>
      </w:r>
      <w:r>
        <w:t xml:space="preserve">, reaching IDR 48.3 billion (USD 3.2 million), with Jakarta accounting for 76% of total Indonesia sales. This success is directly attributable to our</w:t>
      </w:r>
      <w:r>
        <w:t xml:space="preserve"> </w:t>
      </w:r>
      <w:r>
        <w:rPr>
          <w:iCs/>
          <w:i/>
        </w:rPr>
        <w:t xml:space="preserve">biologist-centric sales methodology</w:t>
      </w:r>
      <w:r>
        <w:t xml:space="preserve">, where scientific credibility drives client trust in Indonesia's complex environmental regulatory landscape.</w:t>
      </w:r>
    </w:p>
    <w:bookmarkEnd w:id="21"/>
    <w:bookmarkStart w:id="22" w:name="Xbd4e0c82d26a4bad66d95fcf4e722139d08ed37"/>
    <w:p>
      <w:pPr>
        <w:pStyle w:val="Heading2"/>
      </w:pPr>
      <w:r>
        <w:t xml:space="preserve">II. Sales Performance Highlights (Jakarta Operations)</w:t>
      </w:r>
    </w:p>
    <w:p>
      <w:pPr>
        <w:pStyle w:val="FirstParagraph"/>
      </w:pPr>
      <w:r>
        <w:rPr>
          <w:bCs/>
          <w:b/>
        </w:rPr>
        <w:t xml:space="preserve">Jakarta Market Context:</w:t>
      </w:r>
      <w:r>
        <w:t xml:space="preserve"> </w:t>
      </w:r>
      <w:r>
        <w:t xml:space="preserve">As Indonesia's economic capital and administrative hub, Jakarta represents 35% of the nation's biotech market with over 4,200 environmental projects requiring biological expertise annually. Our targeted approach to Jakarta's unique challenges—urban pollution, wetland conservation needs (e.g., Ciliwung River restoration), and corporate sustainability mandates under Indonesia's Law No. 32/2009—has positioned us as a preferred solution provider.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w:t>
            </w:r>
          </w:p>
        </w:tc>
        <w:tc>
          <w:tcPr/>
          <w:p>
            <w:pPr>
              <w:pStyle w:val="Compact"/>
              <w:jc w:val="left"/>
            </w:pPr>
            <w:r>
              <w:t xml:space="preserve">Q3 2023 Revenue (IDR)</w:t>
            </w:r>
          </w:p>
        </w:tc>
        <w:tc>
          <w:tcPr/>
          <w:p>
            <w:pPr>
              <w:pStyle w:val="Compact"/>
              <w:jc w:val="left"/>
            </w:pPr>
            <w:r>
              <w:t xml:space="preserve">% YoY Change</w:t>
            </w:r>
          </w:p>
        </w:tc>
        <w:tc>
          <w:tcPr/>
          <w:p>
            <w:pPr>
              <w:pStyle w:val="Compact"/>
              <w:jc w:val="left"/>
            </w:pPr>
            <w:r>
              <w:t xml:space="preserve">Key Jakarta Clients</w:t>
            </w:r>
          </w:p>
        </w:tc>
      </w:tr>
      <w:tr>
        <w:tc>
          <w:tcPr/>
          <w:p>
            <w:pPr>
              <w:pStyle w:val="Compact"/>
              <w:jc w:val="left"/>
            </w:pPr>
            <w:r>
              <w:t xml:space="preserve">Biodiversity Impact Assessment Services</w:t>
            </w:r>
          </w:p>
        </w:tc>
        <w:tc>
          <w:tcPr/>
          <w:p>
            <w:pPr>
              <w:pStyle w:val="Compact"/>
              <w:jc w:val="left"/>
            </w:pPr>
            <w:r>
              <w:t xml:space="preserve">18,500,000,000</w:t>
            </w:r>
          </w:p>
        </w:tc>
        <w:tc>
          <w:tcPr/>
          <w:p>
            <w:pPr>
              <w:pStyle w:val="Compact"/>
              <w:jc w:val="left"/>
            </w:pPr>
            <w:r>
              <w:t xml:space="preserve">+24.3%</w:t>
            </w:r>
          </w:p>
        </w:tc>
        <w:tc>
          <w:tcPr/>
          <w:p>
            <w:pPr>
              <w:pStyle w:val="Compact"/>
              <w:jc w:val="left"/>
            </w:pPr>
            <w:r>
              <w:t xml:space="preserve">Jakarta Provincial Government, PT Krakatau Steel</w:t>
            </w:r>
          </w:p>
        </w:tc>
      </w:tr>
      <w:tr>
        <w:tc>
          <w:tcPr/>
          <w:p>
            <w:pPr>
              <w:pStyle w:val="Compact"/>
              <w:jc w:val="left"/>
            </w:pPr>
            <w:r>
              <w:t xml:space="preserve">Microbial Remediation Solutions</w:t>
            </w:r>
          </w:p>
        </w:tc>
        <w:tc>
          <w:tcPr/>
          <w:p>
            <w:pPr>
              <w:pStyle w:val="Compact"/>
              <w:jc w:val="left"/>
            </w:pPr>
            <w:r>
              <w:t xml:space="preserve">12,850,000,000</w:t>
            </w:r>
          </w:p>
        </w:tc>
        <w:tc>
          <w:tcPr/>
          <w:p>
            <w:pPr>
              <w:pStyle w:val="Compact"/>
              <w:jc w:val="left"/>
            </w:pPr>
            <w:r>
              <w:t xml:space="preserve">+16.9%</w:t>
            </w:r>
          </w:p>
        </w:tc>
        <w:tc>
          <w:tcPr/>
          <w:p>
            <w:pPr>
              <w:pStyle w:val="Compact"/>
              <w:jc w:val="left"/>
            </w:pPr>
            <w:r>
              <w:t xml:space="preserve">Surya Citra Media (SCM), Lippo Cikarang Development</w:t>
            </w:r>
          </w:p>
        </w:tc>
      </w:tr>
      <w:tr>
        <w:tc>
          <w:tcPr/>
          <w:p>
            <w:pPr>
              <w:pStyle w:val="Compact"/>
              <w:jc w:val="left"/>
            </w:pPr>
            <w:r>
              <w:t xml:space="preserve">Sustainable Aquaculture Consultancy</w:t>
            </w:r>
          </w:p>
        </w:tc>
        <w:tc>
          <w:tcPr/>
          <w:p>
            <w:pPr>
              <w:pStyle w:val="Compact"/>
              <w:jc w:val="left"/>
            </w:pPr>
            <w:r>
              <w:t xml:space="preserve">8,720,000,000</w:t>
            </w:r>
          </w:p>
        </w:tc>
        <w:tc>
          <w:tcPr/>
          <w:p>
            <w:pPr>
              <w:pStyle w:val="Compact"/>
              <w:jc w:val="left"/>
            </w:pPr>
            <w:r>
              <w:t xml:space="preserve">+31.2%</w:t>
            </w:r>
          </w:p>
        </w:tc>
        <w:tc>
          <w:tcPr/>
          <w:p>
            <w:pPr>
              <w:pStyle w:val="Compact"/>
              <w:jc w:val="left"/>
            </w:pPr>
            <w:r>
              <w:t xml:space="preserve">PT Bumi Laut Resources, Jakarta Fisheries Association</w:t>
            </w:r>
          </w:p>
        </w:tc>
      </w:tr>
      <w:tr>
        <w:tc>
          <w:tcPr/>
          <w:p>
            <w:pPr>
              <w:pStyle w:val="Compact"/>
              <w:jc w:val="left"/>
            </w:pPr>
            <w:r>
              <w:rPr>
                <w:bCs/>
                <w:b/>
              </w:rPr>
              <w:t xml:space="preserve">Total Jakarta Revenue</w:t>
            </w:r>
          </w:p>
        </w:tc>
        <w:tc>
          <w:tcPr/>
          <w:p>
            <w:pPr>
              <w:pStyle w:val="Compact"/>
              <w:jc w:val="left"/>
            </w:pPr>
            <w:r>
              <w:rPr>
                <w:bCs/>
                <w:b/>
              </w:rPr>
              <w:t xml:space="preserve">40,070,000,000</w:t>
            </w:r>
          </w:p>
        </w:tc>
        <w:tc>
          <w:tcPr/>
          <w:p>
            <w:pPr>
              <w:pStyle w:val="Compact"/>
              <w:jc w:val="left"/>
            </w:pPr>
            <w:r>
              <w:rPr>
                <w:bCs/>
                <w:b/>
              </w:rPr>
              <w:t xml:space="preserve">+18.7%</w:t>
            </w:r>
          </w:p>
        </w:tc>
        <w:tc>
          <w:tcPr/>
          <w:p>
            <w:pPr>
              <w:pStyle w:val="Compact"/>
              <w:jc w:val="left"/>
            </w:pPr>
            <w:r>
              <w:t xml:space="preserve"> </w:t>
            </w:r>
          </w:p>
        </w:tc>
      </w:tr>
    </w:tbl>
    <w:bookmarkEnd w:id="22"/>
    <w:bookmarkStart w:id="23" w:name="X6e1e065d146f914e5a66662fde523db1852d695"/>
    <w:p>
      <w:pPr>
        <w:pStyle w:val="Heading2"/>
      </w:pPr>
      <w:r>
        <w:t xml:space="preserve">III. Biologist-Centric Sales Strategy in Indonesia Jakarta</w:t>
      </w:r>
    </w:p>
    <w:p>
      <w:pPr>
        <w:pStyle w:val="FirstParagraph"/>
      </w:pPr>
      <w:r>
        <w:t xml:space="preserve">Our competitive advantage stems from deploying qualified biologists as primary sales representatives—unlike competitors who rely solely on commercial teams. This model is critical for success in</w:t>
      </w:r>
      <w:r>
        <w:t xml:space="preserve"> </w:t>
      </w:r>
      <w:r>
        <w:rPr>
          <w:bCs/>
          <w:b/>
        </w:rPr>
        <w:t xml:space="preserve">Indonesia Jakarta</w:t>
      </w:r>
      <w:r>
        <w:t xml:space="preserve">, where clients demand scientific validation before signing contracts. Key implementation points:</w:t>
      </w:r>
    </w:p>
    <w:p>
      <w:pPr>
        <w:numPr>
          <w:ilvl w:val="0"/>
          <w:numId w:val="1001"/>
        </w:numPr>
        <w:pStyle w:val="Compact"/>
      </w:pPr>
      <w:r>
        <w:rPr>
          <w:bCs/>
          <w:b/>
        </w:rPr>
        <w:t xml:space="preserve">Technical Credibility:</w:t>
      </w:r>
      <w:r>
        <w:t xml:space="preserve"> </w:t>
      </w:r>
      <w:r>
        <w:t xml:space="preserve">All sales discussions feature biologists presenting case studies (e.g., 2022 Ciliwung River cleanup that reduced heavy metal levels by 68%). Clients report 94% higher confidence when solutions are explained by scientists versus traditional salespeople.</w:t>
      </w:r>
    </w:p>
    <w:p>
      <w:pPr>
        <w:numPr>
          <w:ilvl w:val="0"/>
          <w:numId w:val="1001"/>
        </w:numPr>
        <w:pStyle w:val="Compact"/>
      </w:pPr>
      <w:r>
        <w:rPr>
          <w:bCs/>
          <w:b/>
        </w:rPr>
        <w:t xml:space="preserve">Regulatory Navigation:</w:t>
      </w:r>
      <w:r>
        <w:t xml:space="preserve"> </w:t>
      </w:r>
      <w:r>
        <w:t xml:space="preserve">Jakarta's environmental permitting process requires deep knowledge of Indonesia's Ministry of Environment regulations. Our biologists (with PhDs in aquatic ecology and soil science) anticipate client compliance needs, reducing project delays by 30%.</w:t>
      </w:r>
    </w:p>
    <w:p>
      <w:pPr>
        <w:numPr>
          <w:ilvl w:val="0"/>
          <w:numId w:val="1001"/>
        </w:numPr>
        <w:pStyle w:val="Compact"/>
      </w:pPr>
      <w:r>
        <w:rPr>
          <w:bCs/>
          <w:b/>
        </w:rPr>
        <w:t xml:space="preserve">Cultural Alignment:</w:t>
      </w:r>
      <w:r>
        <w:t xml:space="preserve"> </w:t>
      </w:r>
      <w:r>
        <w:t xml:space="preserve">Sales teams conduct field visits with local communities in Jakarta's peri-urban zones, demonstrating biological solutions that respect Javanese ecological traditions—a practice valued by both government and corporate clients.</w:t>
      </w:r>
    </w:p>
    <w:bookmarkEnd w:id="23"/>
    <w:bookmarkStart w:id="24" w:name="Xc9457fd65b7dbdea755b345a3228623e589c2dc"/>
    <w:p>
      <w:pPr>
        <w:pStyle w:val="Heading2"/>
      </w:pPr>
      <w:r>
        <w:t xml:space="preserve">IV. Market Analysis: Why Jakarta Succeeds for Biologists</w:t>
      </w:r>
    </w:p>
    <w:p>
      <w:pPr>
        <w:pStyle w:val="FirstParagraph"/>
      </w:pPr>
      <w:r>
        <w:t xml:space="preserve">Indonesia's capital city presents unique opportunities for biologist-led sales:</w:t>
      </w:r>
    </w:p>
    <w:p>
      <w:pPr>
        <w:numPr>
          <w:ilvl w:val="0"/>
          <w:numId w:val="1002"/>
        </w:numPr>
        <w:pStyle w:val="Compact"/>
      </w:pPr>
      <w:r>
        <w:rPr>
          <w:bCs/>
          <w:b/>
        </w:rPr>
        <w:t xml:space="preserve">Government Prioritization:</w:t>
      </w:r>
      <w:r>
        <w:t xml:space="preserve"> </w:t>
      </w:r>
      <w:r>
        <w:t xml:space="preserve">Jakarta's 10-Year Environmental Blueprint (2023-2033) allocates IDR 15.7 trillion for biodiversity projects, creating consistent demand for biological expertise.</w:t>
      </w:r>
    </w:p>
    <w:p>
      <w:pPr>
        <w:numPr>
          <w:ilvl w:val="0"/>
          <w:numId w:val="1002"/>
        </w:numPr>
        <w:pStyle w:val="Compact"/>
      </w:pPr>
      <w:r>
        <w:rPr>
          <w:bCs/>
          <w:b/>
        </w:rPr>
        <w:t xml:space="preserve">Corporate ESG Adoption:</w:t>
      </w:r>
      <w:r>
        <w:t xml:space="preserve"> </w:t>
      </w:r>
      <w:r>
        <w:t xml:space="preserve">Over 65% of Jakarta-based Fortune 500 companies now require biological audits for sustainability reporting, directly matching our service offerings.</w:t>
      </w:r>
    </w:p>
    <w:p>
      <w:pPr>
        <w:numPr>
          <w:ilvl w:val="0"/>
          <w:numId w:val="1002"/>
        </w:numPr>
        <w:pStyle w:val="Compact"/>
      </w:pPr>
      <w:r>
        <w:rPr>
          <w:bCs/>
          <w:b/>
        </w:rPr>
        <w:t xml:space="preserve">Urban Challenges:</w:t>
      </w:r>
      <w:r>
        <w:t xml:space="preserve"> </w:t>
      </w:r>
      <w:r>
        <w:t xml:space="preserve">Jakarta's sinking land (1-15 cm/year) and flooding necessitate specialized microbial soil stabilizers and wetland restoration—solutions only biologists can design accurately.</w:t>
      </w:r>
    </w:p>
    <w:bookmarkEnd w:id="24"/>
    <w:bookmarkStart w:id="25" w:name="X0810c677e692dfba53024a4762a92b1e4db5212"/>
    <w:p>
      <w:pPr>
        <w:pStyle w:val="Heading2"/>
      </w:pPr>
      <w:r>
        <w:t xml:space="preserve">V. Key Challenges in Indonesia Jakarta Market</w:t>
      </w:r>
    </w:p>
    <w:p>
      <w:pPr>
        <w:pStyle w:val="FirstParagraph"/>
      </w:pPr>
      <w:r>
        <w:t xml:space="preserve">Despite strong performance, we face Jakarta-specific barriers requiring biologist-driven solutions:</w:t>
      </w:r>
    </w:p>
    <w:p>
      <w:pPr>
        <w:numPr>
          <w:ilvl w:val="0"/>
          <w:numId w:val="1003"/>
        </w:numPr>
        <w:pStyle w:val="Compact"/>
      </w:pPr>
      <w:r>
        <w:rPr>
          <w:bCs/>
          <w:b/>
        </w:rPr>
        <w:t xml:space="preserve">Regulatory Fragmentation:</w:t>
      </w:r>
      <w:r>
        <w:t xml:space="preserve"> </w:t>
      </w:r>
      <w:r>
        <w:t xml:space="preserve">Different municipalities (e.g., DKI Jakarta vs. Tangerang) have conflicting environmental rules. Our biologists maintain real-time databases tracking 127 local regulations across Greater Jakarta.</w:t>
      </w:r>
    </w:p>
    <w:p>
      <w:pPr>
        <w:numPr>
          <w:ilvl w:val="0"/>
          <w:numId w:val="1003"/>
        </w:numPr>
        <w:pStyle w:val="Compact"/>
      </w:pPr>
      <w:r>
        <w:rPr>
          <w:bCs/>
          <w:b/>
        </w:rPr>
        <w:t xml:space="preserve">Client Education Gap:</w:t>
      </w:r>
      <w:r>
        <w:t xml:space="preserve"> </w:t>
      </w:r>
      <w:r>
        <w:t xml:space="preserve">Many Jakarta developers initially misunderstand biological solutions as "expensive" rather than cost-saving. Our sales biologists now include ROI calculators showing 3-5 year savings from microbial remediation versus chemical alternatives.</w:t>
      </w:r>
    </w:p>
    <w:p>
      <w:pPr>
        <w:numPr>
          <w:ilvl w:val="0"/>
          <w:numId w:val="1003"/>
        </w:numPr>
        <w:pStyle w:val="Compact"/>
      </w:pPr>
      <w:r>
        <w:rPr>
          <w:bCs/>
          <w:b/>
        </w:rPr>
        <w:t xml:space="preserve">Talent Shortage:</w:t>
      </w:r>
      <w:r>
        <w:t xml:space="preserve"> </w:t>
      </w:r>
      <w:r>
        <w:t xml:space="preserve">Only 12% of Indonesia's biologists work in commercial roles. We've partnered with University of Indonesia to establish a Jakarta Biologist Sales Internship Program, training 47 students this quarter.</w:t>
      </w:r>
    </w:p>
    <w:bookmarkEnd w:id="25"/>
    <w:bookmarkStart w:id="26" w:name="vi.-strategic-initiatives-for-q4-2023"/>
    <w:p>
      <w:pPr>
        <w:pStyle w:val="Heading2"/>
      </w:pPr>
      <w:r>
        <w:t xml:space="preserve">VI. Strategic Initiatives for Q4 2023</w:t>
      </w:r>
    </w:p>
    <w:p>
      <w:pPr>
        <w:pStyle w:val="FirstParagraph"/>
      </w:pPr>
      <w:r>
        <w:t xml:space="preserve">To capitalize on Jakarta's growth trajectory, we're implementing these biologist-focused actions:</w:t>
      </w:r>
    </w:p>
    <w:p>
      <w:pPr>
        <w:numPr>
          <w:ilvl w:val="0"/>
          <w:numId w:val="1004"/>
        </w:numPr>
        <w:pStyle w:val="Compact"/>
      </w:pPr>
      <w:r>
        <w:rPr>
          <w:bCs/>
          <w:b/>
        </w:rPr>
        <w:t xml:space="preserve">Launch of "Jakarta Bio-Compliance" Package:</w:t>
      </w:r>
      <w:r>
        <w:t xml:space="preserve"> </w:t>
      </w:r>
      <w:r>
        <w:t xml:space="preserve">Bundling regulatory support with our services to address bureaucratic challenges—projected to capture 25% market share in municipal contracts.</w:t>
      </w:r>
    </w:p>
    <w:p>
      <w:pPr>
        <w:numPr>
          <w:ilvl w:val="0"/>
          <w:numId w:val="1004"/>
        </w:numPr>
        <w:pStyle w:val="Compact"/>
      </w:pPr>
      <w:r>
        <w:rPr>
          <w:bCs/>
          <w:b/>
        </w:rPr>
        <w:t xml:space="preserve">Biologist Client Workshops:</w:t>
      </w:r>
      <w:r>
        <w:t xml:space="preserve"> </w:t>
      </w:r>
      <w:r>
        <w:t xml:space="preserve">Monthly Jakarta workshops where biologists teach corporate teams how biodiversity metrics drive ESG scores. Early sign-ups from 18 companies exceeded targets by 37%.</w:t>
      </w:r>
    </w:p>
    <w:p>
      <w:pPr>
        <w:numPr>
          <w:ilvl w:val="0"/>
          <w:numId w:val="1004"/>
        </w:numPr>
        <w:pStyle w:val="Compact"/>
      </w:pPr>
      <w:r>
        <w:rPr>
          <w:bCs/>
          <w:b/>
        </w:rPr>
        <w:t xml:space="preserve">Digital Field Tool Integration:</w:t>
      </w:r>
      <w:r>
        <w:t xml:space="preserve"> </w:t>
      </w:r>
      <w:r>
        <w:t xml:space="preserve">Mobile app for sales biologists to instantly generate site-specific biological reports using Jakarta satellite imagery—reducing proposal time by 40%.</w:t>
      </w:r>
    </w:p>
    <w:bookmarkEnd w:id="26"/>
    <w:bookmarkStart w:id="27" w:name="Xe25d785dfa9940e2e2347b43658d24aba51f879"/>
    <w:p>
      <w:pPr>
        <w:pStyle w:val="Heading2"/>
      </w:pPr>
      <w:r>
        <w:t xml:space="preserve">VII. Conclusion: The Future of Biologist Sales in Indonesia Jakarta</w:t>
      </w:r>
    </w:p>
    <w:p>
      <w:pPr>
        <w:pStyle w:val="FirstParagraph"/>
      </w:pPr>
      <w:r>
        <w:t xml:space="preserve">The Q3 results prove that a biologist-led sales approach is not merely advantageous but essential for success in Indonesia's Jakarta market. As environmental regulations tighten nationwide, our scientific credibility becomes the ultimate sales differentiator. We project 20% revenue growth for Jakarta operations in 2024, with expansion into Palembang and Surabaya as natural next steps.</w:t>
      </w:r>
    </w:p>
    <w:p>
      <w:pPr>
        <w:pStyle w:val="BodyText"/>
      </w:pPr>
      <w:r>
        <w:t xml:space="preserve">For Indonesia Jakarta specifically, this model addresses a critical gap: clients need solutions they can trust scientifically—not just commercially. The fact that our biologists consistently close deals on first technical presentations (compared to industry averages of 3-5 meetings) underscores our methodology's effectiveness. As we scale, we'll maintain Jakarta as the innovation hub for Indonesia's environmental biotech sales, demonstrating how biological expertise directly translates into commercial growth in one of Asia's most dynamic markets.</w:t>
      </w:r>
    </w:p>
    <w:p>
      <w:pPr>
        <w:pStyle w:val="BodyText"/>
      </w:pPr>
      <w:r>
        <w:rPr>
          <w:bCs/>
          <w:b/>
        </w:rPr>
        <w:t xml:space="preserve">Recommendation:</w:t>
      </w:r>
      <w:r>
        <w:t xml:space="preserve"> </w:t>
      </w:r>
      <w:r>
        <w:t xml:space="preserve">Allocate additional budget for biologist recruitment and Jakarta-based scientific training to accelerate our market leadership. The path forward is clear: leverage biology as the sales engine for Indonesia's environmental future.</w:t>
      </w:r>
    </w:p>
    <w:p>
      <w:r>
        <w:pict>
          <v:rect style="width:0;height:1.5pt" o:hralign="center" o:hrstd="t" o:hr="t"/>
        </w:pict>
      </w:r>
    </w:p>
    <w:p>
      <w:pPr>
        <w:pStyle w:val="FirstParagraph"/>
      </w:pPr>
      <w:r>
        <w:rPr>
          <w:iCs/>
          <w:i/>
        </w:rPr>
        <w:t xml:space="preserve">This Sales Report was generated with data from BioDynamics Indonesia's Jakarta operations, verified against Ministry of Environment records and client contracts. All figures converted to IDR using Bank Indonesia exchange rates (1 USD = 15,085 IDR).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Report: Jakarta Operations - Indonesia</dc:title>
  <dc:creator/>
  <dc:language>en</dc:language>
  <cp:keywords/>
  <dcterms:created xsi:type="dcterms:W3CDTF">2025-12-15T21:57:28Z</dcterms:created>
  <dcterms:modified xsi:type="dcterms:W3CDTF">2025-12-15T21:57:28Z</dcterms:modified>
</cp:coreProperties>
</file>

<file path=docProps/custom.xml><?xml version="1.0" encoding="utf-8"?>
<Properties xmlns="http://schemas.openxmlformats.org/officeDocument/2006/custom-properties" xmlns:vt="http://schemas.openxmlformats.org/officeDocument/2006/docPropsVTypes"/>
</file>