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Sciences</w:t>
      </w:r>
      <w:r>
        <w:t xml:space="preserve"> </w:t>
      </w:r>
      <w:r>
        <w:t xml:space="preserve">Market</w:t>
      </w:r>
      <w:r>
        <w:t xml:space="preserve"> </w:t>
      </w:r>
      <w:r>
        <w:t xml:space="preserve">Performance</w:t>
      </w:r>
      <w:r>
        <w:t xml:space="preserve"> </w:t>
      </w:r>
      <w:r>
        <w:t xml:space="preserve">-</w:t>
      </w:r>
      <w:r>
        <w:t xml:space="preserve"> </w:t>
      </w:r>
      <w:r>
        <w:t xml:space="preserve">Japan</w:t>
      </w:r>
      <w:r>
        <w:t xml:space="preserve"> </w:t>
      </w:r>
      <w:r>
        <w:t xml:space="preserve">Osaka</w:t>
      </w:r>
    </w:p>
    <w:bookmarkStart w:id="34" w:name="X4818a122b7be9ca0d0cd20fdb0c52b29898543e"/>
    <w:p>
      <w:pPr>
        <w:pStyle w:val="Heading1"/>
      </w:pPr>
      <w:r>
        <w:t xml:space="preserve">Sales Report: Strategic Performance Analysis of Biological Sciences Sales in Japan Osaka</w:t>
      </w:r>
    </w:p>
    <w:bookmarkStart w:id="20" w:name="executive-summary"/>
    <w:p>
      <w:pPr>
        <w:pStyle w:val="Heading2"/>
      </w:pPr>
      <w:r>
        <w:t xml:space="preserve">Executive Summary</w:t>
      </w:r>
    </w:p>
    <w:p>
      <w:pPr>
        <w:pStyle w:val="FirstParagraph"/>
      </w:pPr>
      <w:r>
        <w:t xml:space="preserve">This comprehensive Sales Report details the performance of biological sciences products and services across Osaka, Japan during Q3 2023. As a dedicated Biologist with extensive market experience, I have conducted an in-depth analysis of sales trends, client engagement patterns, and regional opportunities specific to Japan Osaka. The data reveals a 14.7% year-over-year growth in biological product sales within the Osaka market segment, significantly outpacing the national average of 8.3%. This report confirms Osaka's emergence as a critical hub for biological innovation in Japan, with our organization capturing 22% market share through targeted strategies implemented by our on-ground Biologist team.</w:t>
      </w:r>
    </w:p>
    <w:bookmarkEnd w:id="20"/>
    <w:bookmarkStart w:id="21" w:name="Xb7a5e9a8ca66d697e2f5795c3755838cc90204f"/>
    <w:p>
      <w:pPr>
        <w:pStyle w:val="Heading2"/>
      </w:pPr>
      <w:r>
        <w:t xml:space="preserve">Market Context: Why Osaka Matters for Biological Sales</w:t>
      </w:r>
    </w:p>
    <w:p>
      <w:pPr>
        <w:pStyle w:val="FirstParagraph"/>
      </w:pPr>
      <w:r>
        <w:t xml:space="preserve">Osaka stands as the second-largest biotechnology cluster in Japan after Tokyo, hosting over 300 life sciences companies including major pharmaceutical manufacturers (Takeda, Eisai), research institutions (Osaka University, National Institute of Advanced Industrial Science and Technology), and specialized biotech startups. As a Biologist specializing in market development for biological products, I've observed that Osaka's unique ecosystem—characterized by strong industry-academia collaboration and government incentives like the Osaka Bio Innovation Program—creates exceptional sales opportunities. The city's strategic location connecting Kyoto, Kobe, and Nara also positions it as a natural distribution center for biological materials across the Kansai region.</w:t>
      </w:r>
    </w:p>
    <w:bookmarkEnd w:id="21"/>
    <w:bookmarkStart w:id="22" w:name="key-sales-metrics-q3-2023-performance"/>
    <w:p>
      <w:pPr>
        <w:pStyle w:val="Heading2"/>
      </w:pPr>
      <w:r>
        <w:t xml:space="preserve">Key Sales Metrics: Q3 2023 Performance</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Market Share (Osaka)</w:t>
      </w:r>
    </w:p>
    <w:p>
      <w:pPr>
        <w:pStyle w:val="BodyText"/>
      </w:pPr>
      <w:r>
        <w:t xml:space="preserve">Total Revenue (JPY)</w:t>
      </w:r>
    </w:p>
    <w:p>
      <w:pPr>
        <w:pStyle w:val="BodyText"/>
      </w:pPr>
      <w:r>
        <w:t xml:space="preserve">¥158,400,000</w:t>
      </w:r>
    </w:p>
    <w:p>
      <w:pPr>
        <w:pStyle w:val="BodyText"/>
      </w:pPr>
      <w:r>
        <w:t xml:space="preserve">+14.7%</w:t>
      </w:r>
    </w:p>
    <w:p>
      <w:pPr>
        <w:pStyle w:val="BodyText"/>
      </w:pPr>
      <w:r>
        <w:t xml:space="preserve">22%*</w:t>
      </w:r>
    </w:p>
    <w:p>
      <w:pPr>
        <w:pStyle w:val="BodyText"/>
      </w:pPr>
      <w:r>
        <w:t xml:space="preserve">Top Product Line: Cell Culture Kits</w:t>
      </w:r>
    </w:p>
    <w:p>
      <w:pPr>
        <w:pStyle w:val="BodyText"/>
      </w:pPr>
      <w:r>
        <w:t xml:space="preserve">¥68,250,000</w:t>
      </w:r>
    </w:p>
    <w:p>
      <w:pPr>
        <w:pStyle w:val="BodyText"/>
      </w:pPr>
      <w:r>
        <w:t xml:space="preserve">+18.3%</w:t>
      </w:r>
    </w:p>
    <w:p>
      <w:pPr>
        <w:pStyle w:val="BodyText"/>
      </w:pPr>
      <w:r>
        <w:t xml:space="preserve">-</w:t>
      </w:r>
    </w:p>
    <w:p>
      <w:pPr>
        <w:pStyle w:val="BodyText"/>
      </w:pPr>
      <w:r>
        <w:t xml:space="preserve">New Client Acquisition (Institutions)</w:t>
      </w:r>
    </w:p>
    <w:p>
      <w:pPr>
        <w:pStyle w:val="BodyText"/>
      </w:pPr>
      <w:r>
        <w:t xml:space="preserve">17</w:t>
      </w:r>
    </w:p>
    <w:p>
      <w:pPr>
        <w:pStyle w:val="BodyText"/>
      </w:pPr>
      <w:r>
        <w:t xml:space="preserve">+32%</w:t>
      </w:r>
    </w:p>
    <w:p>
      <w:pPr>
        <w:pStyle w:val="BodyText"/>
      </w:pPr>
      <w:r>
        <w:t xml:space="preserve">-</w:t>
      </w:r>
    </w:p>
    <w:p>
      <w:pPr>
        <w:pStyle w:val="BodyText"/>
      </w:pPr>
      <w:r>
        <w:t xml:space="preserve">*Industry benchmark: 18% average market share for competitors in Osaka</w:t>
      </w:r>
    </w:p>
    <w:p>
      <w:pPr>
        <w:pStyle w:val="BodyText"/>
      </w:pPr>
      <w:r>
        <w:t xml:space="preserve">The sales growth was driven by three strategic initiatives implemented by our Osaka-based Biologist team:</w:t>
      </w:r>
    </w:p>
    <w:p>
      <w:pPr>
        <w:numPr>
          <w:ilvl w:val="0"/>
          <w:numId w:val="1001"/>
        </w:numPr>
        <w:pStyle w:val="Compact"/>
      </w:pPr>
      <w:r>
        <w:t xml:space="preserve">Development of region-specific technical documentation in Japanese for regulatory compliance</w:t>
      </w:r>
    </w:p>
    <w:p>
      <w:pPr>
        <w:numPr>
          <w:ilvl w:val="0"/>
          <w:numId w:val="1001"/>
        </w:numPr>
        <w:pStyle w:val="Compact"/>
      </w:pPr>
      <w:r>
        <w:t xml:space="preserve">Partnerships with Osaka University's Research Center for Advanced Medical Sciences</w:t>
      </w:r>
    </w:p>
    <w:p>
      <w:pPr>
        <w:numPr>
          <w:ilvl w:val="0"/>
          <w:numId w:val="1001"/>
        </w:numPr>
        <w:pStyle w:val="Compact"/>
      </w:pPr>
      <w:r>
        <w:t xml:space="preserve">Targeted product bundles addressing Kansai region's high demand for diagnostic kits (32% market penetration)</w:t>
      </w:r>
    </w:p>
    <w:bookmarkEnd w:id="22"/>
    <w:bookmarkStart w:id="26" w:name="X865e129c14a2efb5c2998b5adb30830e0a3f96c"/>
    <w:p>
      <w:pPr>
        <w:pStyle w:val="Heading2"/>
      </w:pPr>
      <w:r>
        <w:t xml:space="preserve">Market Analysis: Biologist-Driven Insights from Japan Osaka</w:t>
      </w:r>
    </w:p>
    <w:p>
      <w:pPr>
        <w:pStyle w:val="FirstParagraph"/>
      </w:pPr>
      <w:r>
        <w:t xml:space="preserve">As a Biologist conducting on-site market analysis, I identified three critical trends shaping sales opportunities in Osaka:</w:t>
      </w:r>
    </w:p>
    <w:bookmarkStart w:id="23" w:name="X94e1003bc0372bebf5a6bc316e266fa854f0b3c"/>
    <w:p>
      <w:pPr>
        <w:pStyle w:val="Heading3"/>
      </w:pPr>
      <w:r>
        <w:t xml:space="preserve">1. Regulatory Shifts Creating Sales Opportunities</w:t>
      </w:r>
    </w:p>
    <w:p>
      <w:pPr>
        <w:pStyle w:val="FirstParagraph"/>
      </w:pPr>
      <w:r>
        <w:t xml:space="preserve">The 2022 revision of Japan's Pharmaceutical Affairs Law has accelerated demand for high-precision biological reagents. Our Biologist team successfully converted 48% of regulatory compliance consultations into product sales within Osaka, particularly for kits meeting the new Good Laboratory Practice (GLP) standards. The Osaka Prefectural Government's recent 5-year biotech investment plan (¥120 billion budget) has created a pipeline of 97 new lab construction projects—directly benefiting our sales projections.</w:t>
      </w:r>
    </w:p>
    <w:bookmarkEnd w:id="23"/>
    <w:bookmarkStart w:id="24" w:name="seasonal-demand-patterns"/>
    <w:p>
      <w:pPr>
        <w:pStyle w:val="Heading3"/>
      </w:pPr>
      <w:r>
        <w:t xml:space="preserve">2. Seasonal Demand Patterns</w:t>
      </w:r>
    </w:p>
    <w:p>
      <w:pPr>
        <w:pStyle w:val="FirstParagraph"/>
      </w:pPr>
      <w:r>
        <w:t xml:space="preserve">Data reveals distinct seasonal fluctuations unique to Japan Osaka:</w:t>
      </w:r>
    </w:p>
    <w:p>
      <w:pPr>
        <w:numPr>
          <w:ilvl w:val="0"/>
          <w:numId w:val="1002"/>
        </w:numPr>
        <w:pStyle w:val="Compact"/>
      </w:pPr>
      <w:r>
        <w:t xml:space="preserve">February-April: Surge in demand from pharmaceutical R&amp;D units preparing annual budgets (peak 27% higher than average)</w:t>
      </w:r>
    </w:p>
    <w:p>
      <w:pPr>
        <w:numPr>
          <w:ilvl w:val="0"/>
          <w:numId w:val="1002"/>
        </w:numPr>
        <w:pStyle w:val="Compact"/>
      </w:pPr>
      <w:r>
        <w:t xml:space="preserve">July-September: Increased procurement for summer research projects (19% above baseline)</w:t>
      </w:r>
    </w:p>
    <w:p>
      <w:pPr>
        <w:pStyle w:val="FirstParagraph"/>
      </w:pPr>
      <w:r>
        <w:t xml:space="preserve">Our sales strategy now aligns inventory with these cycles, resulting in 35% higher on-time delivery rates this quarter.</w:t>
      </w:r>
    </w:p>
    <w:bookmarkEnd w:id="24"/>
    <w:bookmarkStart w:id="25" w:name="competitive-landscape-transformation"/>
    <w:p>
      <w:pPr>
        <w:pStyle w:val="Heading3"/>
      </w:pPr>
      <w:r>
        <w:t xml:space="preserve">3. Competitive Landscape Transformation</w:t>
      </w:r>
    </w:p>
    <w:p>
      <w:pPr>
        <w:pStyle w:val="FirstParagraph"/>
      </w:pPr>
      <w:r>
        <w:t xml:space="preserve">The Osaka market has shifted from price-driven to value-driven purchasing. Local competitors like Mochida Pharmaceutical are losing share (down 9%) as clients prioritize biologists' technical expertise over cost—demonstrating why our Biologist-led consultative selling approach is critical for sustained growth.</w:t>
      </w:r>
    </w:p>
    <w:bookmarkEnd w:id="25"/>
    <w:bookmarkEnd w:id="26"/>
    <w:bookmarkStart w:id="31" w:name="challenges-and-strategic-recommendations"/>
    <w:p>
      <w:pPr>
        <w:pStyle w:val="Heading2"/>
      </w:pPr>
      <w:r>
        <w:t xml:space="preserve">Challenges and Strategic Recommendations</w:t>
      </w:r>
    </w:p>
    <w:p>
      <w:pPr>
        <w:pStyle w:val="FirstParagraph"/>
      </w:pPr>
      <w:r>
        <w:t xml:space="preserve">While performance exceeds targets, two challenges require immediate action:</w:t>
      </w:r>
    </w:p>
    <w:bookmarkStart w:id="27" w:name="X172db92a67cc16ffe31466412bb38303cd21d92"/>
    <w:p>
      <w:pPr>
        <w:pStyle w:val="Heading3"/>
      </w:pPr>
      <w:r>
        <w:t xml:space="preserve">Challenge 1: Cultural Nuances in Client Engagement</w:t>
      </w:r>
    </w:p>
    <w:p>
      <w:pPr>
        <w:pStyle w:val="FirstParagraph"/>
      </w:pPr>
      <w:r>
        <w:t xml:space="preserve">The "Nemawashi" (consensus-building) process remains crucial in Osaka business culture. Our initial sales approach focused on product specs rather than relationship development, causing 22% of qualified leads to stall during negotiations.</w:t>
      </w:r>
    </w:p>
    <w:bookmarkEnd w:id="27"/>
    <w:bookmarkStart w:id="28" w:name="recommendation"/>
    <w:p>
      <w:pPr>
        <w:pStyle w:val="Heading3"/>
      </w:pPr>
      <w:r>
        <w:t xml:space="preserve">Recommendation:</w:t>
      </w:r>
    </w:p>
    <w:p>
      <w:pPr>
        <w:numPr>
          <w:ilvl w:val="0"/>
          <w:numId w:val="1003"/>
        </w:numPr>
        <w:pStyle w:val="Compact"/>
      </w:pPr>
      <w:r>
        <w:t xml:space="preserve">Implement mandatory bi-weekly "Kaiwa" (business dialogue) sessions between Biologist sales reps and key accounts</w:t>
      </w:r>
    </w:p>
    <w:p>
      <w:pPr>
        <w:numPr>
          <w:ilvl w:val="0"/>
          <w:numId w:val="1003"/>
        </w:numPr>
        <w:pStyle w:val="Compact"/>
      </w:pPr>
      <w:r>
        <w:t xml:space="preserve">Develop Osaka-specific cultural training modules covering hierarchy protocols and meeting etiquette</w:t>
      </w:r>
    </w:p>
    <w:p>
      <w:pPr>
        <w:numPr>
          <w:ilvl w:val="0"/>
          <w:numId w:val="1003"/>
        </w:numPr>
        <w:pStyle w:val="Compact"/>
      </w:pPr>
      <w:r>
        <w:t xml:space="preserve">Allocate 15% of quarterly sales budget to relationship-building activities (e.g., lab visits with university researchers)</w:t>
      </w:r>
    </w:p>
    <w:bookmarkEnd w:id="28"/>
    <w:bookmarkStart w:id="29" w:name="challenge-2-supply-chain-fragmentation"/>
    <w:p>
      <w:pPr>
        <w:pStyle w:val="Heading3"/>
      </w:pPr>
      <w:r>
        <w:t xml:space="preserve">Challenge 2: Supply Chain Fragmentation</w:t>
      </w:r>
    </w:p>
    <w:p>
      <w:pPr>
        <w:pStyle w:val="FirstParagraph"/>
      </w:pPr>
      <w:r>
        <w:t xml:space="preserve">Osaka's complex port logistics and seasonal weather events (typhoons) cause 14% of shipments to miss delivery windows—a critical issue for temperature-sensitive biological products.</w:t>
      </w:r>
    </w:p>
    <w:bookmarkEnd w:id="29"/>
    <w:bookmarkStart w:id="30" w:name="recommendation-1"/>
    <w:p>
      <w:pPr>
        <w:pStyle w:val="Heading3"/>
      </w:pPr>
      <w:r>
        <w:t xml:space="preserve">Recommendation:</w:t>
      </w:r>
    </w:p>
    <w:p>
      <w:pPr>
        <w:numPr>
          <w:ilvl w:val="0"/>
          <w:numId w:val="1004"/>
        </w:numPr>
        <w:pStyle w:val="Compact"/>
      </w:pPr>
      <w:r>
        <w:t xml:space="preserve">Partner with Osaka-based logistics firm "Nankai Express" for dedicated biologics transport</w:t>
      </w:r>
    </w:p>
    <w:p>
      <w:pPr>
        <w:numPr>
          <w:ilvl w:val="0"/>
          <w:numId w:val="1004"/>
        </w:numPr>
        <w:pStyle w:val="Compact"/>
      </w:pPr>
      <w:r>
        <w:t xml:space="preserve">Create regional inventory hubs in Osaka and Kobe to reduce transit time by 48 hours</w:t>
      </w:r>
    </w:p>
    <w:p>
      <w:pPr>
        <w:numPr>
          <w:ilvl w:val="0"/>
          <w:numId w:val="1004"/>
        </w:numPr>
        <w:pStyle w:val="Compact"/>
      </w:pPr>
      <w:r>
        <w:t xml:space="preserve">Implement AI-driven weather prediction integration into delivery scheduling</w:t>
      </w:r>
    </w:p>
    <w:bookmarkEnd w:id="30"/>
    <w:bookmarkEnd w:id="31"/>
    <w:bookmarkStart w:id="32" w:name="Xc0cb706c5768ba855081b093981ec6b76f06e50"/>
    <w:p>
      <w:pPr>
        <w:pStyle w:val="Heading2"/>
      </w:pPr>
      <w:r>
        <w:t xml:space="preserve">Strategic Outlook: The Biologist's Role in Japan Osaka's Growth Trajectory</w:t>
      </w:r>
    </w:p>
    <w:p>
      <w:pPr>
        <w:pStyle w:val="FirstParagraph"/>
      </w:pPr>
      <w:r>
        <w:t xml:space="preserve">This Sales Report underscores that the Biologist is not merely a salesperson but a market intelligence specialist. In Japan Osaka, where technical accuracy and cultural fluency are non-negotiable, our Biologists' dual expertise has become our key competitive differentiator. The upcoming Osaka Bio Summit (October 15-17) will present an ideal platform to showcase our biologics portfolio to 500+ regional researchers—the largest gathering of its kind in Kansai.</w:t>
      </w:r>
    </w:p>
    <w:p>
      <w:pPr>
        <w:pStyle w:val="BodyText"/>
      </w:pPr>
      <w:r>
        <w:t xml:space="preserve">Based on current trends, I project a 20% revenue increase for Q4 as we capitalize on the Osaka University joint research program and the new regulatory framework. Our Biologist team's performance metrics will now include "Technical Consultation Conversion Rate" as a core KPI, recognizing that in Japan Osaka's market, biological expertise directly drives commercial success.</w:t>
      </w:r>
    </w:p>
    <w:bookmarkEnd w:id="32"/>
    <w:bookmarkStart w:id="33" w:name="conclusion"/>
    <w:p>
      <w:pPr>
        <w:pStyle w:val="Heading2"/>
      </w:pPr>
      <w:r>
        <w:t xml:space="preserve">Conclusion</w:t>
      </w:r>
    </w:p>
    <w:p>
      <w:pPr>
        <w:pStyle w:val="FirstParagraph"/>
      </w:pPr>
      <w:r>
        <w:t xml:space="preserve">This Sales Report confirms that Osaka represents one of Japan's most promising markets for biological sciences sales. The strategic integration of Biologist-led technical sales—combined with hyper-localized market intelligence—has positioned our organization for sustained growth in this high-value region. As the Japan Osaka biotech ecosystem continues expanding at 12% annually, our focus remains on leveraging the unique insights only a trained Biologist can provide to convert market potential into measurable revenue. I recommend allocating additional resources to expand the Osaka Biologist team by 40% in Q1 2024 to meet projected demand. The data is clear: In Japan Osaka, biology isn't just the product—it's our competitive advantage.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Sciences Market Performance - Japan Osaka</dc:title>
  <dc:creator/>
  <dc:language>en</dc:language>
  <cp:keywords/>
  <dcterms:created xsi:type="dcterms:W3CDTF">2026-07-21T07:30:32Z</dcterms:created>
  <dcterms:modified xsi:type="dcterms:W3CDTF">2026-07-21T07:30:32Z</dcterms:modified>
</cp:coreProperties>
</file>

<file path=docProps/custom.xml><?xml version="1.0" encoding="utf-8"?>
<Properties xmlns="http://schemas.openxmlformats.org/officeDocument/2006/custom-properties" xmlns:vt="http://schemas.openxmlformats.org/officeDocument/2006/docPropsVTypes"/>
</file>