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Sales</w:t>
      </w:r>
      <w:r>
        <w:t xml:space="preserve"> </w:t>
      </w:r>
      <w:r>
        <w:t xml:space="preserve">Report:</w:t>
      </w:r>
      <w:r>
        <w:t xml:space="preserve"> </w:t>
      </w:r>
      <w:r>
        <w:t xml:space="preserve">Kenya</w:t>
      </w:r>
      <w:r>
        <w:t xml:space="preserve"> </w:t>
      </w:r>
      <w:r>
        <w:t xml:space="preserve">Nairobi</w:t>
      </w:r>
      <w:r>
        <w:t xml:space="preserve"> </w:t>
      </w:r>
      <w:r>
        <w:t xml:space="preserve">Market</w:t>
      </w:r>
      <w:r>
        <w:t xml:space="preserve"> </w:t>
      </w:r>
      <w:r>
        <w:t xml:space="preserve">Analysis</w:t>
      </w:r>
    </w:p>
    <w:bookmarkStart w:id="27" w:name="X5b3a0f1584f119a2758b84daf47383f29cf6348"/>
    <w:p>
      <w:pPr>
        <w:pStyle w:val="Heading1"/>
      </w:pPr>
      <w:r>
        <w:t xml:space="preserve">SALES REPORT FOR BIOLOGICAL SERVICES IN KENYA NAIROBI</w:t>
      </w:r>
    </w:p>
    <w:p>
      <w:pPr>
        <w:pStyle w:val="FirstParagraph"/>
      </w:pPr>
      <w:r>
        <w:t xml:space="preserve">Prepared for Senior Management | Q3 2023 | Confidential</w:t>
      </w:r>
    </w:p>
    <w:bookmarkStart w:id="20" w:name="executive-summary"/>
    <w:p>
      <w:pPr>
        <w:pStyle w:val="Heading2"/>
      </w:pPr>
      <w:r>
        <w:t xml:space="preserve">Executive Summary</w:t>
      </w:r>
    </w:p>
    <w:p>
      <w:pPr>
        <w:pStyle w:val="FirstParagraph"/>
      </w:pPr>
      <w:r>
        <w:t xml:space="preserve">This comprehensive Sales Report details the performance of biological services across Kenya Nairobi during Q3 2023. As a leading Biologist and environmental consultancy firm, our strategic focus on Nairobi's burgeoning healthcare, agriculture, and conservation sectors has driven significant growth. The report demonstrates how our specialized Biological expertise directly contributed to a 28% year-on-year revenue increase in the Kenyan capital market. Key success factors include targeted client acquisition in Nairobi's industrial zones and innovative service bundling tailored to local ecological challenges.</w:t>
      </w:r>
    </w:p>
    <w:bookmarkEnd w:id="20"/>
    <w:bookmarkStart w:id="21" w:name="X3d7c72a69a6a3ab4d91cb78b7804f6c80f70e4a"/>
    <w:p>
      <w:pPr>
        <w:pStyle w:val="Heading2"/>
      </w:pPr>
      <w:r>
        <w:t xml:space="preserve">Market Context: Why Nairobi Demands Biological Expertise</w:t>
      </w:r>
    </w:p>
    <w:p>
      <w:pPr>
        <w:pStyle w:val="FirstParagraph"/>
      </w:pPr>
      <w:r>
        <w:t xml:space="preserve">Kenya Nairobi represents Africa's third-largest biotech hub, with 67% of the nation's environmental testing laboratories concentrated within the city. As a Biologist operating in this ecosystem, we've witnessed unprecedented demand driven by: (1) The National Climate Change Policy requiring biological impact assessments for all urban infrastructure projects, (2) Nairobi County Government's aggressive push for organic farming certification across 240+ smallholder farms, and (3) the East African Community's new pharmaceutical quality control standards. This creates a unique opportunity where every Sales Report must reflect localized biological imperatives.</w:t>
      </w:r>
    </w:p>
    <w:bookmarkEnd w:id="21"/>
    <w:bookmarkStart w:id="22" w:name="Xde1c1fa3af1959b2ca07b87eb8e5ac8281f1037"/>
    <w:p>
      <w:pPr>
        <w:pStyle w:val="Heading2"/>
      </w:pPr>
      <w:r>
        <w:t xml:space="preserve">Q3 Sales Performance: Nairobi-Specific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Nairobi Revenue (KES)</w:t>
            </w:r>
          </w:p>
        </w:tc>
        <w:tc>
          <w:tcPr/>
          <w:p>
            <w:pPr>
              <w:pStyle w:val="Compact"/>
              <w:jc w:val="left"/>
            </w:pPr>
            <w:r>
              <w:t xml:space="preserve">YoY Growth</w:t>
            </w:r>
          </w:p>
        </w:tc>
        <w:tc>
          <w:tcPr/>
          <w:p>
            <w:pPr>
              <w:pStyle w:val="Compact"/>
              <w:jc w:val="left"/>
            </w:pPr>
            <w:r>
              <w:t xml:space="preserve">Key Clients</w:t>
            </w:r>
          </w:p>
        </w:tc>
      </w:tr>
      <w:tr>
        <w:tc>
          <w:tcPr/>
          <w:p>
            <w:pPr>
              <w:pStyle w:val="Compact"/>
              <w:jc w:val="left"/>
            </w:pPr>
            <w:r>
              <w:t xml:space="preserve">Water Quality Testing for Industrial Parks</w:t>
            </w:r>
          </w:p>
        </w:tc>
        <w:tc>
          <w:tcPr/>
          <w:p>
            <w:pPr>
              <w:pStyle w:val="Compact"/>
              <w:jc w:val="left"/>
            </w:pPr>
            <w:r>
              <w:t xml:space="preserve">1,850,000</w:t>
            </w:r>
          </w:p>
        </w:tc>
        <w:tc>
          <w:tcPr/>
          <w:p>
            <w:pPr>
              <w:pStyle w:val="Compact"/>
              <w:jc w:val="left"/>
            </w:pPr>
            <w:r>
              <w:t xml:space="preserve">+35%</w:t>
            </w:r>
          </w:p>
        </w:tc>
        <w:tc>
          <w:tcPr/>
          <w:p>
            <w:pPr>
              <w:pStyle w:val="Compact"/>
              <w:jc w:val="left"/>
            </w:pPr>
            <w:r>
              <w:t xml:space="preserve">Nairobi City Water Authority, KICC Complex</w:t>
            </w:r>
          </w:p>
        </w:tc>
      </w:tr>
      <w:tr>
        <w:tc>
          <w:tcPr/>
          <w:p>
            <w:pPr>
              <w:pStyle w:val="Compact"/>
              <w:jc w:val="left"/>
            </w:pPr>
            <w:r>
              <w:t xml:space="preserve">Soil Health Analysis for Agribusinesses</w:t>
            </w:r>
          </w:p>
        </w:tc>
        <w:tc>
          <w:tcPr/>
          <w:p>
            <w:pPr>
              <w:pStyle w:val="Compact"/>
              <w:jc w:val="left"/>
            </w:pPr>
            <w:r>
              <w:t xml:space="preserve">1,240,000</w:t>
            </w:r>
          </w:p>
        </w:tc>
        <w:tc>
          <w:tcPr/>
          <w:p>
            <w:pPr>
              <w:pStyle w:val="Compact"/>
              <w:jc w:val="left"/>
            </w:pPr>
            <w:r>
              <w:t xml:space="preserve">+42%</w:t>
            </w:r>
          </w:p>
        </w:tc>
        <w:tc>
          <w:tcPr/>
          <w:p>
            <w:pPr>
              <w:pStyle w:val="Compact"/>
              <w:jc w:val="left"/>
            </w:pPr>
            <w:r>
              <w:t xml:space="preserve">Boni Farms Ltd., Naivasha Horticulture Group</w:t>
            </w:r>
          </w:p>
        </w:tc>
      </w:tr>
      <w:tr>
        <w:tc>
          <w:tcPr/>
          <w:p>
            <w:pPr>
              <w:pStyle w:val="Compact"/>
              <w:jc w:val="left"/>
            </w:pPr>
            <w:r>
              <w:t xml:space="preserve">Wildlife Corridor Impact Assessments</w:t>
            </w:r>
          </w:p>
        </w:tc>
        <w:tc>
          <w:tcPr/>
          <w:p>
            <w:pPr>
              <w:pStyle w:val="Compact"/>
              <w:jc w:val="left"/>
            </w:pPr>
            <w:r>
              <w:t xml:space="preserve">985,000</w:t>
            </w:r>
          </w:p>
        </w:tc>
        <w:tc>
          <w:tcPr/>
          <w:p>
            <w:pPr>
              <w:pStyle w:val="Compact"/>
              <w:jc w:val="left"/>
            </w:pPr>
            <w:r>
              <w:t xml:space="preserve">+28%</w:t>
            </w:r>
          </w:p>
        </w:tc>
        <w:tc>
          <w:tcPr/>
          <w:p>
            <w:pPr>
              <w:pStyle w:val="Compact"/>
              <w:jc w:val="left"/>
            </w:pPr>
            <w:r>
              <w:t xml:space="preserve">National Museums of Kenya, Nairobi National Park Management</w:t>
            </w:r>
          </w:p>
        </w:tc>
      </w:tr>
      <w:tr>
        <w:tc>
          <w:tcPr/>
          <w:p>
            <w:pPr>
              <w:pStyle w:val="Compact"/>
              <w:jc w:val="left"/>
            </w:pPr>
            <w:r>
              <w:rPr>
                <w:bCs/>
                <w:b/>
              </w:rPr>
              <w:t xml:space="preserve">Total Revenue (Nairobi)</w:t>
            </w:r>
          </w:p>
        </w:tc>
        <w:tc>
          <w:tcPr/>
          <w:p>
            <w:pPr>
              <w:pStyle w:val="Compact"/>
              <w:jc w:val="left"/>
            </w:pPr>
            <w:r>
              <w:rPr>
                <w:bCs/>
                <w:b/>
              </w:rPr>
              <w:t xml:space="preserve">4,075,000</w:t>
            </w:r>
          </w:p>
        </w:tc>
        <w:tc>
          <w:tcPr/>
          <w:p>
            <w:pPr>
              <w:pStyle w:val="Compact"/>
              <w:jc w:val="left"/>
            </w:pPr>
            <w:r>
              <w:rPr>
                <w:bCs/>
                <w:b/>
              </w:rPr>
              <w:t xml:space="preserve">+31%</w:t>
            </w:r>
          </w:p>
        </w:tc>
        <w:tc>
          <w:tcPr/>
          <w:p>
            <w:pPr>
              <w:pStyle w:val="Compact"/>
              <w:jc w:val="left"/>
            </w:pPr>
            <w:r>
              <w:rPr>
                <w:iCs/>
                <w:i/>
              </w:rPr>
              <w:t xml:space="preserve">28% of Corporate Revenue</w:t>
            </w:r>
          </w:p>
        </w:tc>
      </w:tr>
    </w:tbl>
    <w:p>
      <w:pPr>
        <w:pStyle w:val="BodyText"/>
      </w:pPr>
      <w:r>
        <w:t xml:space="preserve">The Sales Report underscores that Nairobi's market now generates 72% of our firm's biological service revenue, up from 58% in Q3 2022. This growth stems from our Biologist team's deep understanding of Nairobi-specific challenges like peri-urban pollution hotspots along the Nairobi River and invasive species management in the Ngong Hills ecosystem.</w:t>
      </w:r>
    </w:p>
    <w:bookmarkEnd w:id="22"/>
    <w:bookmarkStart w:id="23" w:name="X0a61a6a897eb686fd36386ec0135f7679ba51b1"/>
    <w:p>
      <w:pPr>
        <w:pStyle w:val="Heading2"/>
      </w:pPr>
      <w:r>
        <w:t xml:space="preserve">Strategic Insights from a Nairobi Biologist</w:t>
      </w:r>
    </w:p>
    <w:p>
      <w:pPr>
        <w:pStyle w:val="FirstParagraph"/>
      </w:pPr>
      <w:r>
        <w:t xml:space="preserve">Our lead Biologist, Dr. Amina Ochieng, notes that "In Kenya Nairobi, biological sales aren't transactional – they're about solving hyper-local problems. When we conducted soil testing for the Mlolongo irrigation project last month, our team didn't just deliver data; we provided a custom composting plan using native Kenyan fungi to address Nairobi's unique clay soils." This approach transformed 3 client consultations into multi-year contracts.</w:t>
      </w:r>
    </w:p>
    <w:p>
      <w:pPr>
        <w:pStyle w:val="BodyText"/>
      </w:pPr>
      <w:r>
        <w:t xml:space="preserve">Key sales differentiators emerging in Nairobi include:</w:t>
      </w:r>
    </w:p>
    <w:p>
      <w:pPr>
        <w:numPr>
          <w:ilvl w:val="0"/>
          <w:numId w:val="1001"/>
        </w:numPr>
        <w:pStyle w:val="Compact"/>
      </w:pPr>
      <w:r>
        <w:rPr>
          <w:bCs/>
          <w:b/>
        </w:rPr>
        <w:t xml:space="preserve">Regulatory Navigation:</w:t>
      </w:r>
      <w:r>
        <w:t xml:space="preserve"> </w:t>
      </w:r>
      <w:r>
        <w:t xml:space="preserve">Our Biologist team maintains direct liaison with Kenya Bureau of Standards (KEBS) and Nairobi City County Environmental Health Unit</w:t>
      </w:r>
    </w:p>
    <w:p>
      <w:pPr>
        <w:numPr>
          <w:ilvl w:val="0"/>
          <w:numId w:val="1001"/>
        </w:numPr>
        <w:pStyle w:val="Compact"/>
      </w:pPr>
      <w:r>
        <w:rPr>
          <w:bCs/>
          <w:b/>
        </w:rPr>
        <w:t xml:space="preserve">Cultural Integration:</w:t>
      </w:r>
      <w:r>
        <w:t xml:space="preserve"> </w:t>
      </w:r>
      <w:r>
        <w:t xml:space="preserve">Service packages now include Swahili-language technical reports for farmer cooperatives in Kiambu County</w:t>
      </w:r>
    </w:p>
    <w:p>
      <w:pPr>
        <w:numPr>
          <w:ilvl w:val="0"/>
          <w:numId w:val="1001"/>
        </w:numPr>
        <w:pStyle w:val="Compact"/>
      </w:pPr>
      <w:r>
        <w:rPr>
          <w:bCs/>
          <w:b/>
        </w:rPr>
        <w:t xml:space="preserve">Sustainability Premium:</w:t>
      </w:r>
      <w:r>
        <w:t xml:space="preserve"> </w:t>
      </w:r>
      <w:r>
        <w:t xml:space="preserve">64% of Nairobi clients pay 15-22% more for 'climate-resilient' biological solutions (e.g., drought-tolerant crop analysis)</w:t>
      </w:r>
    </w:p>
    <w:bookmarkEnd w:id="23"/>
    <w:bookmarkStart w:id="24" w:name="challenges-in-the-kenya-nairobi-market"/>
    <w:p>
      <w:pPr>
        <w:pStyle w:val="Heading2"/>
      </w:pPr>
      <w:r>
        <w:t xml:space="preserve">Challenges in the Kenya Nairobi Market</w:t>
      </w:r>
    </w:p>
    <w:p>
      <w:pPr>
        <w:pStyle w:val="FirstParagraph"/>
      </w:pPr>
      <w:r>
        <w:t xml:space="preserve">Despite growth, our Sales Report identifies critical Nairobi-specific hurdles:</w:t>
      </w:r>
    </w:p>
    <w:p>
      <w:pPr>
        <w:numPr>
          <w:ilvl w:val="0"/>
          <w:numId w:val="1002"/>
        </w:numPr>
        <w:pStyle w:val="Compact"/>
      </w:pPr>
      <w:r>
        <w:rPr>
          <w:bCs/>
          <w:b/>
        </w:rPr>
        <w:t xml:space="preserve">Infrastructure Gaps:</w:t>
      </w:r>
      <w:r>
        <w:t xml:space="preserve"> </w:t>
      </w:r>
      <w:r>
        <w:t xml:space="preserve">Limited cold-chain logistics for sample transport from rural satellite towns to Nairobi labs (costing 18% of service revenue)</w:t>
      </w:r>
    </w:p>
    <w:p>
      <w:pPr>
        <w:numPr>
          <w:ilvl w:val="0"/>
          <w:numId w:val="1002"/>
        </w:numPr>
        <w:pStyle w:val="Compact"/>
      </w:pPr>
      <w:r>
        <w:rPr>
          <w:bCs/>
          <w:b/>
        </w:rPr>
        <w:t xml:space="preserve">Regulatory Fragmentation:</w:t>
      </w:r>
      <w:r>
        <w:t xml:space="preserve"> </w:t>
      </w:r>
      <w:r>
        <w:t xml:space="preserve">Differing requirements between Nairobi City County and National Government create sales confusion</w:t>
      </w:r>
    </w:p>
    <w:p>
      <w:pPr>
        <w:numPr>
          <w:ilvl w:val="0"/>
          <w:numId w:val="1002"/>
        </w:numPr>
        <w:pStyle w:val="Compact"/>
      </w:pPr>
      <w:r>
        <w:rPr>
          <w:bCs/>
          <w:b/>
        </w:rPr>
        <w:t xml:space="preserve">Talent Competition:</w:t>
      </w:r>
      <w:r>
        <w:t xml:space="preserve"> </w:t>
      </w:r>
      <w:r>
        <w:t xml:space="preserve">Top Biologist talent is lured by international NGOs, increasing recruitment costs by 23% in Nairobi</w:t>
      </w:r>
    </w:p>
    <w:bookmarkEnd w:id="24"/>
    <w:bookmarkStart w:id="25" w:name="future-strategy-beyond-nairobis-borders"/>
    <w:p>
      <w:pPr>
        <w:pStyle w:val="Heading2"/>
      </w:pPr>
      <w:r>
        <w:t xml:space="preserve">Future Strategy: Beyond Nairobi's Borders</w:t>
      </w:r>
    </w:p>
    <w:p>
      <w:pPr>
        <w:pStyle w:val="FirstParagraph"/>
      </w:pPr>
      <w:r>
        <w:t xml:space="preserve">To capitalize on Kenya Nairobi's leadership, we're implementing these initiatives:</w:t>
      </w:r>
    </w:p>
    <w:p>
      <w:pPr>
        <w:numPr>
          <w:ilvl w:val="0"/>
          <w:numId w:val="1003"/>
        </w:numPr>
        <w:pStyle w:val="Compact"/>
      </w:pPr>
      <w:r>
        <w:rPr>
          <w:bCs/>
          <w:b/>
        </w:rPr>
        <w:t xml:space="preserve">Mobile Biologist Units:</w:t>
      </w:r>
      <w:r>
        <w:t xml:space="preserve"> </w:t>
      </w:r>
      <w:r>
        <w:t xml:space="preserve">Deploying solar-powered testing vans to reach outlying areas (e.g., Embakasi, Ruiru) by Q1 2024</w:t>
      </w:r>
    </w:p>
    <w:p>
      <w:pPr>
        <w:numPr>
          <w:ilvl w:val="0"/>
          <w:numId w:val="1003"/>
        </w:numPr>
        <w:pStyle w:val="Compact"/>
      </w:pPr>
      <w:r>
        <w:rPr>
          <w:bCs/>
          <w:b/>
        </w:rPr>
        <w:t xml:space="preserve">Nairobi Bio-Partnership Hub:</w:t>
      </w:r>
      <w:r>
        <w:t xml:space="preserve"> </w:t>
      </w:r>
      <w:r>
        <w:t xml:space="preserve">Creating a co-working space with Kenya Wildlife Service and AGRA for joint biological solution development</w:t>
      </w:r>
    </w:p>
    <w:p>
      <w:pPr>
        <w:numPr>
          <w:ilvl w:val="0"/>
          <w:numId w:val="1003"/>
        </w:numPr>
        <w:pStyle w:val="Compact"/>
      </w:pPr>
      <w:r>
        <w:rPr>
          <w:bCs/>
          <w:b/>
        </w:rPr>
        <w:t xml:space="preserve">Data Platform Expansion:</w:t>
      </w:r>
      <w:r>
        <w:t xml:space="preserve"> </w:t>
      </w:r>
      <w:r>
        <w:t xml:space="preserve">Building Nairobi-specific predictive models for disease outbreaks using our cloud-based biological analytics tool</w:t>
      </w:r>
    </w:p>
    <w:bookmarkEnd w:id="25"/>
    <w:bookmarkStart w:id="26" w:name="X311222b7233b852ff6151adfe0cea8d54114c38"/>
    <w:p>
      <w:pPr>
        <w:pStyle w:val="Heading2"/>
      </w:pPr>
      <w:r>
        <w:t xml:space="preserve">Conclusion: The Nairobi Biological Imperative</w:t>
      </w:r>
    </w:p>
    <w:p>
      <w:pPr>
        <w:pStyle w:val="FirstParagraph"/>
      </w:pPr>
      <w:r>
        <w:t xml:space="preserve">This Sales Report unequivocally demonstrates that Kenya Nairobi isn't just a market – it's the epicenter of biological innovation in East Africa. Our Biologist team's success stems from treating each Nairobi client as part of an interconnected ecological system rather than a transaction. As urbanization accelerates in the Kenyan capital, demand for specialized Biological expertise will only intensify. We project 35%+ annual growth for our Nairobi operations through 2024, positioning us to become Africa's most trusted biological services provider in metropolitan environments.</w:t>
      </w:r>
    </w:p>
    <w:p>
      <w:pPr>
        <w:pStyle w:val="BodyText"/>
      </w:pPr>
      <w:r>
        <w:t xml:space="preserve">Prepared by: Professional Biological Services Division</w:t>
      </w:r>
      <w:r>
        <w:br/>
      </w:r>
      <w:r>
        <w:t xml:space="preserve">Kenya Nairobi Headquarters | www.biologistkenya.co.ke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Sales Report: Kenya Nairobi Market Analysis</dc:title>
  <dc:creator/>
  <dc:language>en</dc:language>
  <cp:keywords/>
  <dcterms:created xsi:type="dcterms:W3CDTF">2026-07-23T15:14:33Z</dcterms:created>
  <dcterms:modified xsi:type="dcterms:W3CDTF">2026-07-23T15:14:33Z</dcterms:modified>
</cp:coreProperties>
</file>

<file path=docProps/custom.xml><?xml version="1.0" encoding="utf-8"?>
<Properties xmlns="http://schemas.openxmlformats.org/officeDocument/2006/custom-properties" xmlns:vt="http://schemas.openxmlformats.org/officeDocument/2006/docPropsVTypes"/>
</file>