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w:t>
      </w:r>
      <w:r>
        <w:t xml:space="preserve"> </w:t>
      </w:r>
      <w:r>
        <w:t xml:space="preserve">Malaysia</w:t>
      </w:r>
      <w:r>
        <w:t xml:space="preserve"> </w:t>
      </w:r>
      <w:r>
        <w:t xml:space="preserve">Kuala</w:t>
      </w:r>
      <w:r>
        <w:t xml:space="preserve"> </w:t>
      </w:r>
      <w:r>
        <w:t xml:space="preserve">Lumpur</w:t>
      </w:r>
    </w:p>
    <w:bookmarkStart w:id="27" w:name="Xbc5386de32724bfaea0be8ddf3256854e8664c7"/>
    <w:p>
      <w:pPr>
        <w:pStyle w:val="Heading1"/>
      </w:pPr>
      <w:r>
        <w:t xml:space="preserve">Comprehensive Sales Report: Biologist Performance in Malaysia Kuala Lumpur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Executive, ASEAN Division</w:t>
      </w:r>
      <w:r>
        <w:br/>
      </w:r>
      <w:r>
        <w:rPr>
          <w:bCs/>
          <w:b/>
        </w:rPr>
        <w:t xml:space="preserve">Prepared By:</w:t>
      </w:r>
      <w:r>
        <w:t xml:space="preserve"> </w:t>
      </w:r>
      <w:r>
        <w:t xml:space="preserve">Dr. Aisha Rahman, Senior Biologist &amp; Sales Specialist</w:t>
      </w:r>
      <w:r>
        <w:br/>
      </w:r>
      <w:r>
        <w:rPr>
          <w:bCs/>
          <w:b/>
        </w:rPr>
        <w:t xml:space="preserve">Location Focus:</w:t>
      </w:r>
      <w:r>
        <w:t xml:space="preserve"> </w:t>
      </w:r>
      <w:r>
        <w:t xml:space="preserve">Malaysia Kuala Lumpur</w:t>
      </w:r>
    </w:p>
    <w:bookmarkStart w:id="20" w:name="i.-executive-summary"/>
    <w:p>
      <w:pPr>
        <w:pStyle w:val="Heading2"/>
      </w:pPr>
      <w:r>
        <w:t xml:space="preserve">I. Executive Summary</w:t>
      </w:r>
    </w:p>
    <w:p>
      <w:pPr>
        <w:pStyle w:val="FirstParagraph"/>
      </w:pPr>
      <w:r>
        <w:t xml:space="preserve">This annual Sales Report details the performance of our biological product portfolio across Malaysia Kuala Lumpur, with a specific focus on the strategic contributions made by our dedicated Biologist sales team. The report confirms that biologically-driven solutions have achieved 18% year-over-year growth in Kuala Lumpur's healthcare sector, significantly outperforming regional averages. The unique expertise of our Biologist professionals has been instrumental in converting complex scientific value into tangible sales outcomes within Malaysia Kuala Lumpur's competitive market landscape.</w:t>
      </w:r>
    </w:p>
    <w:bookmarkEnd w:id="20"/>
    <w:bookmarkStart w:id="21" w:name="ii.-market-context-malaysia-kuala-lumpur"/>
    <w:p>
      <w:pPr>
        <w:pStyle w:val="Heading2"/>
      </w:pPr>
      <w:r>
        <w:t xml:space="preserve">II. Market Context: Malaysia Kuala Lumpur</w:t>
      </w:r>
    </w:p>
    <w:p>
      <w:pPr>
        <w:pStyle w:val="FirstParagraph"/>
      </w:pPr>
      <w:r>
        <w:t xml:space="preserve">Kuala Lumpur represents the epicenter of biotechnology advancement in Southeast Asia, hosting 68% of Malaysia's pharmaceutical R&amp;D facilities and 43% of regional biotech startups. As the nation's capital city, Kuala Lumpur generates 32% of Malaysia's total healthcare revenue and serves as a critical gateway for international biological product distribution across ASEAN. Our Sales Report confirms that market penetration strategies must be deeply rooted in local biological research ecosystems to succeed in Malaysia Kuala Lumpur.</w:t>
      </w:r>
    </w:p>
    <w:bookmarkEnd w:id="21"/>
    <w:bookmarkStart w:id="22" w:name="X0a5af6f60b3c0aafc7269859bf18a0c3e96f120"/>
    <w:p>
      <w:pPr>
        <w:pStyle w:val="Heading2"/>
      </w:pPr>
      <w:r>
        <w:t xml:space="preserve">III. Biologist-Driven Sales Performance (Q1-Q3 2023)</w:t>
      </w:r>
    </w:p>
    <w:p>
      <w:pPr>
        <w:pStyle w:val="FirstParagraph"/>
      </w:pPr>
      <w:r>
        <w:t xml:space="preserve">The Sales Report demonstrates exceptional results from our specialized Biologist sales representatives operating within Malaysia Kuala Lumpur. Unlike traditional sales roles, these scientific professionals possess dual expertise in laboratory sciences and commercial strategy, enabling them to:</w:t>
      </w:r>
    </w:p>
    <w:p>
      <w:pPr>
        <w:numPr>
          <w:ilvl w:val="0"/>
          <w:numId w:val="1001"/>
        </w:numPr>
        <w:pStyle w:val="Compact"/>
      </w:pPr>
      <w:r>
        <w:t xml:space="preserve">Conduct technical demonstrations of biological products with 92% client comprehension rate (vs. 65% industry average)</w:t>
      </w:r>
    </w:p>
    <w:p>
      <w:pPr>
        <w:numPr>
          <w:ilvl w:val="0"/>
          <w:numId w:val="1001"/>
        </w:numPr>
        <w:pStyle w:val="Compact"/>
      </w:pPr>
      <w:r>
        <w:t xml:space="preserve">Secure 37% more clinical trial partnerships through scientific credibility</w:t>
      </w:r>
    </w:p>
    <w:p>
      <w:pPr>
        <w:numPr>
          <w:ilvl w:val="0"/>
          <w:numId w:val="1001"/>
        </w:numPr>
        <w:pStyle w:val="Compact"/>
      </w:pPr>
      <w:r>
        <w:t xml:space="preserve">Reduce product rejection rates by 41% via evidence-based sales presentations</w:t>
      </w:r>
    </w:p>
    <w:p>
      <w:pPr>
        <w:pStyle w:val="FirstParagraph"/>
      </w:pPr>
      <w:r>
        <w:rPr>
          <w:bCs/>
          <w:b/>
        </w:rPr>
        <w:t xml:space="preserve">Key Achievements in Malaysia Kuala Lumpur:</w:t>
      </w:r>
    </w:p>
    <w:p>
      <w:pPr>
        <w:pStyle w:val="BodyText"/>
      </w:pPr>
      <w:r>
        <w:t xml:space="preserve">Product Line</w:t>
      </w:r>
    </w:p>
    <w:p>
      <w:pPr>
        <w:pStyle w:val="BodyText"/>
      </w:pPr>
      <w:r>
        <w:t xml:space="preserve">Sales Growth (YoY)</w:t>
      </w:r>
    </w:p>
    <w:p>
      <w:pPr>
        <w:pStyle w:val="BodyText"/>
      </w:pPr>
      <w:r>
        <w:t xml:space="preserve">Bio-Scientific Impact</w:t>
      </w:r>
    </w:p>
    <w:p>
      <w:pPr>
        <w:pStyle w:val="BodyText"/>
      </w:pPr>
      <w:r>
        <w:t xml:space="preserve">Diagnostic Enzyme Kits</w:t>
      </w:r>
    </w:p>
    <w:p>
      <w:pPr>
        <w:pStyle w:val="BodyText"/>
      </w:pPr>
      <w:r>
        <w:t xml:space="preserve">29%</w:t>
      </w:r>
    </w:p>
    <w:p>
      <w:pPr>
        <w:pStyle w:val="BodyText"/>
      </w:pPr>
      <w:r>
        <w:t xml:space="preserve">Biologist-led protocol customization increased adoption by 58% in KL hospitals</w:t>
      </w:r>
    </w:p>
    <w:p>
      <w:pPr>
        <w:pStyle w:val="BodyText"/>
      </w:pPr>
      <w:r>
        <w:t xml:space="preserve">Synthetic Biology Platforms</w:t>
      </w:r>
    </w:p>
    <w:p>
      <w:pPr>
        <w:pStyle w:val="BodyText"/>
      </w:pPr>
      <w:r>
        <w:t xml:space="preserve">43%</w:t>
      </w:r>
    </w:p>
    <w:p>
      <w:pPr>
        <w:pStyle w:val="BodyText"/>
      </w:pPr>
      <w:r>
        <w:t xml:space="preserve">&lt;</w:t>
      </w:r>
    </w:p>
    <w:p>
      <w:pPr>
        <w:pStyle w:val="BodyText"/>
      </w:pPr>
      <w:r>
        <w:t xml:space="preserve">Demonstrated gene-editing applications at University of Malaya, securing 12 new institutional contracts</w:t>
      </w:r>
    </w:p>
    <w:p>
      <w:pPr>
        <w:pStyle w:val="BodyText"/>
      </w:pPr>
      <w:r>
        <w:t xml:space="preserve">Bioinformatics Software Suite</w:t>
      </w:r>
    </w:p>
    <w:p>
      <w:pPr>
        <w:pStyle w:val="BodyText"/>
      </w:pPr>
      <w:r>
        <w:t xml:space="preserve">19%</w:t>
      </w:r>
    </w:p>
    <w:p>
      <w:pPr>
        <w:pStyle w:val="BodyText"/>
      </w:pPr>
      <w:r>
        <w:t xml:space="preserve">Biologist sales teams conducted 78 technical workshops across KL biotech hubs</w:t>
      </w:r>
    </w:p>
    <w:bookmarkEnd w:id="22"/>
    <w:bookmarkStart w:id="23" w:name="X922d15e7b9cfd8460eb9b9cf4d2546e69636aef"/>
    <w:p>
      <w:pPr>
        <w:pStyle w:val="Heading2"/>
      </w:pPr>
      <w:r>
        <w:t xml:space="preserve">IV. The Critical Role of the Biologist in Malaysia Kuala Lumpur Sales Success</w:t>
      </w:r>
    </w:p>
    <w:p>
      <w:pPr>
        <w:pStyle w:val="FirstParagraph"/>
      </w:pPr>
      <w:r>
        <w:t xml:space="preserve">In Malaysia Kuala Lumpur's sophisticated healthcare market, the Biologist sales professional has become indispensable. Unlike conventional sales personnel, our Biologist representatives:</w:t>
      </w:r>
    </w:p>
    <w:p>
      <w:pPr>
        <w:numPr>
          <w:ilvl w:val="0"/>
          <w:numId w:val="1002"/>
        </w:numPr>
        <w:pStyle w:val="Compact"/>
      </w:pPr>
      <w:r>
        <w:rPr>
          <w:bCs/>
          <w:b/>
        </w:rPr>
        <w:t xml:space="preserve">Bridge Scientific &amp; Commercial Gaps:</w:t>
      </w:r>
      <w:r>
        <w:t xml:space="preserve"> </w:t>
      </w:r>
      <w:r>
        <w:t xml:space="preserve">They translate complex biological data into business value for hospital procurement committees in Kuala Lumpur</w:t>
      </w:r>
    </w:p>
    <w:p>
      <w:pPr>
        <w:numPr>
          <w:ilvl w:val="0"/>
          <w:numId w:val="1002"/>
        </w:numPr>
        <w:pStyle w:val="Compact"/>
      </w:pPr>
      <w:r>
        <w:rPr>
          <w:bCs/>
          <w:b/>
        </w:rPr>
        <w:t xml:space="preserve">Cultivate Trust through Expertise:</w:t>
      </w:r>
      <w:r>
        <w:t xml:space="preserve"> </w:t>
      </w:r>
      <w:r>
        <w:t xml:space="preserve">83% of KL clients cite the Biologist's scientific credibility as their primary decision factor</w:t>
      </w:r>
    </w:p>
    <w:p>
      <w:pPr>
        <w:numPr>
          <w:ilvl w:val="0"/>
          <w:numId w:val="1002"/>
        </w:numPr>
        <w:pStyle w:val="Compact"/>
      </w:pPr>
      <w:r>
        <w:rPr>
          <w:bCs/>
          <w:b/>
        </w:rPr>
        <w:t xml:space="preserve">Accelerate Contract Negotiations:</w:t>
      </w:r>
      <w:r>
        <w:t xml:space="preserve"> </w:t>
      </w:r>
      <w:r>
        <w:t xml:space="preserve">Technical objections are resolved 57% faster with Biologist involvement in Malaysia Kuala Lumpur</w:t>
      </w:r>
    </w:p>
    <w:p>
      <w:pPr>
        <w:pStyle w:val="FirstParagraph"/>
      </w:pPr>
      <w:r>
        <w:t xml:space="preserve">This Sales Report specifically highlights a case study where our Senior Biologist secured a RM 14.8 million contract with Sunway Medical Centre by designing a customized biomarker detection protocol that aligned with KL's National Cancer Screening Initiative.</w:t>
      </w:r>
    </w:p>
    <w:bookmarkEnd w:id="23"/>
    <w:bookmarkStart w:id="24" w:name="Xa126dff8ca27c808a48f59a63dda62385c8fe60"/>
    <w:p>
      <w:pPr>
        <w:pStyle w:val="Heading2"/>
      </w:pPr>
      <w:r>
        <w:t xml:space="preserve">V. Malaysia Kuala Lumpur Market Challenges &amp; Solutions</w:t>
      </w:r>
    </w:p>
    <w:p>
      <w:pPr>
        <w:pStyle w:val="FirstParagraph"/>
      </w:pPr>
      <w:r>
        <w:t xml:space="preserve">The Sales Report identifies three critical challenges specific to operating as a Biologist in Malaysia Kuala Lumpur:</w:t>
      </w:r>
    </w:p>
    <w:p>
      <w:pPr>
        <w:numPr>
          <w:ilvl w:val="0"/>
          <w:numId w:val="1003"/>
        </w:numPr>
        <w:pStyle w:val="Compact"/>
      </w:pPr>
      <w:r>
        <w:rPr>
          <w:bCs/>
          <w:b/>
        </w:rPr>
        <w:t xml:space="preserve">Regulatory Complexity:</w:t>
      </w:r>
      <w:r>
        <w:t xml:space="preserve"> </w:t>
      </w:r>
      <w:r>
        <w:t xml:space="preserve">Navigating MDA (Malaysian Drug Authority) approvals requires scientific precision. Our Biologist team reduced approval timelines by 33% through proactive regulatory documentation.</w:t>
      </w:r>
    </w:p>
    <w:p>
      <w:pPr>
        <w:numPr>
          <w:ilvl w:val="0"/>
          <w:numId w:val="1003"/>
        </w:numPr>
        <w:pStyle w:val="Compact"/>
      </w:pPr>
      <w:r>
        <w:rPr>
          <w:bCs/>
          <w:b/>
        </w:rPr>
        <w:t xml:space="preserve">Cultural Nuances:</w:t>
      </w:r>
      <w:r>
        <w:t xml:space="preserve"> </w:t>
      </w:r>
      <w:r>
        <w:t xml:space="preserve">KL's healthcare decision-making involves multiple stakeholders. Biologist sales specialists implemented "scientific roundtable" sessions that increased cross-departmental buy-in by 67%.</w:t>
      </w:r>
    </w:p>
    <w:p>
      <w:pPr>
        <w:numPr>
          <w:ilvl w:val="0"/>
          <w:numId w:val="1003"/>
        </w:numPr>
        <w:pStyle w:val="Compact"/>
      </w:pPr>
      <w:r>
        <w:rPr>
          <w:bCs/>
          <w:b/>
        </w:rPr>
        <w:t xml:space="preserve">Competitive Differentiation:</w:t>
      </w:r>
      <w:r>
        <w:t xml:space="preserve"> </w:t>
      </w:r>
      <w:r>
        <w:t xml:space="preserve">Local biotech firms offer similar products. Our Biologist representatives countered with evidence-based comparative analysis, securing 22 new contracts in Q3 alone.</w:t>
      </w:r>
    </w:p>
    <w:bookmarkEnd w:id="24"/>
    <w:bookmarkStart w:id="25" w:name="Xbf91797a67e32bdfd6e8674dd601dff13e8c705"/>
    <w:p>
      <w:pPr>
        <w:pStyle w:val="Heading2"/>
      </w:pPr>
      <w:r>
        <w:t xml:space="preserve">VI. Strategic Recommendations for Malaysia Kuala Lumpur</w:t>
      </w:r>
    </w:p>
    <w:p>
      <w:pPr>
        <w:pStyle w:val="FirstParagraph"/>
      </w:pPr>
      <w:r>
        <w:t xml:space="preserve">This Sales Report concludes with four actionable recommendations to maximize Biologist sales impact in Malaysia Kuala Lumpur:</w:t>
      </w:r>
    </w:p>
    <w:p>
      <w:pPr>
        <w:numPr>
          <w:ilvl w:val="0"/>
          <w:numId w:val="1004"/>
        </w:numPr>
        <w:pStyle w:val="Compact"/>
      </w:pPr>
      <w:r>
        <w:rPr>
          <w:bCs/>
          <w:b/>
        </w:rPr>
        <w:t xml:space="preserve">Establish KL Biologist Innovation Hub:</w:t>
      </w:r>
      <w:r>
        <w:t xml:space="preserve"> </w:t>
      </w:r>
      <w:r>
        <w:t xml:space="preserve">Create a dedicated laboratory-scientist partnership center at the Petaling Jaya biotech park to accelerate product development based on local disease patterns.</w:t>
      </w:r>
    </w:p>
    <w:p>
      <w:pPr>
        <w:numPr>
          <w:ilvl w:val="0"/>
          <w:numId w:val="1004"/>
        </w:numPr>
        <w:pStyle w:val="Compact"/>
      </w:pPr>
      <w:r>
        <w:rPr>
          <w:bCs/>
          <w:b/>
        </w:rPr>
        <w:t xml:space="preserve">Biologist Certification Program:</w:t>
      </w:r>
      <w:r>
        <w:t xml:space="preserve"> </w:t>
      </w:r>
      <w:r>
        <w:t xml:space="preserve">Implement Malaysia-specific scientific sales training covering MDA regulations and KL healthcare ecosystem dynamics.</w:t>
      </w:r>
    </w:p>
    <w:p>
      <w:pPr>
        <w:numPr>
          <w:ilvl w:val="0"/>
          <w:numId w:val="1004"/>
        </w:numPr>
        <w:pStyle w:val="Compact"/>
      </w:pPr>
      <w:r>
        <w:rPr>
          <w:bCs/>
          <w:b/>
        </w:rPr>
        <w:t xml:space="preserve">Sustainable Biomarker Research Partnerships:</w:t>
      </w:r>
      <w:r>
        <w:t xml:space="preserve"> </w:t>
      </w:r>
      <w:r>
        <w:t xml:space="preserve">Co-develop diagnostic tools with University of Kuala Lumpur's Molecular Biology Institute to address regional health priorities like dengue fever and diabetes.</w:t>
      </w:r>
    </w:p>
    <w:p>
      <w:pPr>
        <w:numPr>
          <w:ilvl w:val="0"/>
          <w:numId w:val="1004"/>
        </w:numPr>
        <w:pStyle w:val="Compact"/>
      </w:pPr>
      <w:r>
        <w:rPr>
          <w:bCs/>
          <w:b/>
        </w:rPr>
        <w:t xml:space="preserve">Digital Biologist Engagement Platform:</w:t>
      </w:r>
      <w:r>
        <w:t xml:space="preserve"> </w:t>
      </w:r>
      <w:r>
        <w:t xml:space="preserve">Launch a KL-exclusive portal where Biologist sales specialists provide live technical consultations via telehealth for remote clinics across Malaysia.</w:t>
      </w:r>
    </w:p>
    <w:bookmarkEnd w:id="25"/>
    <w:bookmarkStart w:id="26" w:name="vii.-conclusion"/>
    <w:p>
      <w:pPr>
        <w:pStyle w:val="Heading2"/>
      </w:pPr>
      <w:r>
        <w:t xml:space="preserve">VII. Conclusion</w:t>
      </w:r>
    </w:p>
    <w:p>
      <w:pPr>
        <w:pStyle w:val="FirstParagraph"/>
      </w:pPr>
      <w:r>
        <w:t xml:space="preserve">This Sales Report unequivocally demonstrates that the integration of scientific expertise with commercial strategy—through our specialized Biologist team—is the cornerstone of success in Malaysia Kuala Lumpur's evolving biotechnology market. The 18% growth in biological product sales directly correlates with increased Biologist engagement levels across KL healthcare institutions. As Malaysia continues its national push toward biotech leadership through initiatives like the National Biotechnology Policy 2023, our Sales Report confirms that strategically deploying Biologist professionals in Malaysia Kuala Lumpur isn't just advantageous—it's essential for sustainable market dominance.</w:t>
      </w:r>
    </w:p>
    <w:p>
      <w:pPr>
        <w:pStyle w:val="BodyText"/>
      </w:pPr>
      <w:r>
        <w:t xml:space="preserve">Looking ahead, we project 25%+ growth for biological solutions in Malaysia Kuala Lumpur by 2024, contingent upon expanding our Biologist sales force by 35% and deepening partnerships with KL-based research institutions. The data is clear: In the competitive landscape of Malaysia Kuala Lumpur, the Biologist isn't just a sales representative—they are the scientific catalyst that transforms market potential into measurable revenue.</w:t>
      </w:r>
    </w:p>
    <w:p>
      <w:pPr>
        <w:pStyle w:val="BodyText"/>
      </w:pPr>
      <w:r>
        <w:rPr>
          <w:iCs/>
          <w:i/>
        </w:rPr>
        <w:t xml:space="preserve">Prepared by Dr. Aisha Rahman, Senior Biologist &amp; Sales Specialist | BioInnovate Southeast Asia</w:t>
      </w:r>
      <w:r>
        <w:br/>
      </w:r>
      <w:r>
        <w:rPr>
          <w:iCs/>
          <w:i/>
        </w:rPr>
        <w:t xml:space="preserve">"Where Scientific Expertise Meets Commercial Excellence in Malaysia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 Malaysia Kuala Lumpur</dc:title>
  <dc:creator/>
  <dc:language>en</dc:language>
  <cp:keywords/>
  <dcterms:created xsi:type="dcterms:W3CDTF">2026-06-02T23:36:08Z</dcterms:created>
  <dcterms:modified xsi:type="dcterms:W3CDTF">2026-06-02T23:36:08Z</dcterms:modified>
</cp:coreProperties>
</file>

<file path=docProps/custom.xml><?xml version="1.0" encoding="utf-8"?>
<Properties xmlns="http://schemas.openxmlformats.org/officeDocument/2006/custom-properties" xmlns:vt="http://schemas.openxmlformats.org/officeDocument/2006/docPropsVTypes"/>
</file>