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Russia</w:t>
      </w:r>
      <w:r>
        <w:t xml:space="preserve"> </w:t>
      </w:r>
      <w:r>
        <w:t xml:space="preserve">Moscow</w:t>
      </w:r>
      <w:r>
        <w:t xml:space="preserve"> </w:t>
      </w:r>
      <w:r>
        <w:t xml:space="preserve">Market</w:t>
      </w:r>
    </w:p>
    <w:bookmarkStart w:id="28" w:name="Xc8ae966b2cd2ac0cdfd997c08260fdfba4f412c"/>
    <w:p>
      <w:pPr>
        <w:pStyle w:val="Heading1"/>
      </w:pPr>
      <w:r>
        <w:t xml:space="preserve">Comprehensive Sales Report: Biologist Performance Analysis in Russia Moscow Market (Q3 2023)</w:t>
      </w:r>
    </w:p>
    <w:bookmarkStart w:id="20" w:name="executive-summary"/>
    <w:p>
      <w:pPr>
        <w:pStyle w:val="Heading2"/>
      </w:pPr>
      <w:r>
        <w:t xml:space="preserve">Executive Summary</w:t>
      </w:r>
    </w:p>
    <w:p>
      <w:pPr>
        <w:pStyle w:val="FirstParagraph"/>
      </w:pPr>
      <w:r>
        <w:t xml:space="preserve">This Sales Report details the performance of biological research and biotechnology sales operations across Russia, with particular focus on the Moscow metropolitan region. As a dedicated Biologist working within the commercial sector, I have analyzed market dynamics, client engagement metrics, and strategic opportunities in Moscow's rapidly evolving life sciences ecosystem. The report confirms that biologically-focused product lines demonstrated 27% year-over-year growth in Moscow—a trend directly attributable to our specialized biologist-led sales approach. This document underscores how integrating scientific expertise with commercial acumen drives success in Russia's competitive biotech landscape.</w:t>
      </w:r>
    </w:p>
    <w:bookmarkEnd w:id="20"/>
    <w:bookmarkStart w:id="21" w:name="X3491a230c4ef2cd275443c3fcc1d64b30c4977f"/>
    <w:p>
      <w:pPr>
        <w:pStyle w:val="Heading2"/>
      </w:pPr>
      <w:r>
        <w:t xml:space="preserve">Market Context: Russia Moscow Biotechnology Landscape</w:t>
      </w:r>
    </w:p>
    <w:p>
      <w:pPr>
        <w:pStyle w:val="FirstParagraph"/>
      </w:pPr>
      <w:r>
        <w:t xml:space="preserve">The Moscow biotechnology sector represents 68% of Russia's total life sciences market, with annual growth projected at 15.3% (CAGR 2023-2027). As a Biologist responsible for sales strategy in this market, I've observed three critical shifts: First, increased government funding for biotech innovation under the "National Project: Health" initiative. Second, heightened demand for genomic sequencing services and bioinformatics solutions from Moscow-based pharmaceutical companies like Pharmstandard and R-Pharm. Third, a 40% surge in academic collaborations with Moscow State University and Skolkovo Institute of Science and Technology—directly influencing our product pipeline development.</w:t>
      </w:r>
    </w:p>
    <w:bookmarkEnd w:id="21"/>
    <w:bookmarkStart w:id="22" w:name="Xaf56b86446af36085fd80f15bdb98cebd38fcf5"/>
    <w:p>
      <w:pPr>
        <w:pStyle w:val="Heading2"/>
      </w:pPr>
      <w:r>
        <w:t xml:space="preserve">Sales Performance Analysis: Biologist-Driven Results</w:t>
      </w:r>
    </w:p>
    <w:p>
      <w:pPr>
        <w:pStyle w:val="FirstParagraph"/>
      </w:pPr>
      <w:r>
        <w:t xml:space="preserve">Our Q3 2023 Sales Report reveals that biologist-led account management delivered exceptional results. Teams composed of scientists (not traditional sales personnel) achieved a 63% client retention rate versus the industry average of 48%. Key metrics include:</w:t>
      </w:r>
    </w:p>
    <w:p>
      <w:pPr>
        <w:numPr>
          <w:ilvl w:val="0"/>
          <w:numId w:val="1001"/>
        </w:numPr>
        <w:pStyle w:val="Compact"/>
      </w:pPr>
      <w:r>
        <w:rPr>
          <w:bCs/>
          <w:b/>
        </w:rPr>
        <w:t xml:space="preserve">Product Specialization Impact:</w:t>
      </w:r>
      <w:r>
        <w:t xml:space="preserve"> </w:t>
      </w:r>
      <w:r>
        <w:t xml:space="preserve">Molecular diagnostic kits saw a 32% uplift when sold by biologists with PhDs in microbiology, as clients valued technical credibility during complex procurement processes.</w:t>
      </w:r>
    </w:p>
    <w:p>
      <w:pPr>
        <w:numPr>
          <w:ilvl w:val="0"/>
          <w:numId w:val="1001"/>
        </w:numPr>
        <w:pStyle w:val="Compact"/>
      </w:pPr>
      <w:r>
        <w:rPr>
          <w:bCs/>
          <w:b/>
        </w:rPr>
        <w:t xml:space="preserve">Moscow Client Acquisition:</w:t>
      </w:r>
      <w:r>
        <w:t xml:space="preserve"> </w:t>
      </w:r>
      <w:r>
        <w:t xml:space="preserve">17 new institutional contracts secured (including 3 major hospitals and 2 biopharma R&amp;D centers) through biologist-led technical workshops—proving that scientific engagement converts leads more effectively in Russia Moscow's regulatory environment.</w:t>
      </w:r>
    </w:p>
    <w:p>
      <w:pPr>
        <w:numPr>
          <w:ilvl w:val="0"/>
          <w:numId w:val="1001"/>
        </w:numPr>
        <w:pStyle w:val="Compact"/>
      </w:pPr>
      <w:r>
        <w:rPr>
          <w:bCs/>
          <w:b/>
        </w:rPr>
        <w:t xml:space="preserve">Deal Velocity:</w:t>
      </w:r>
      <w:r>
        <w:t xml:space="preserve"> </w:t>
      </w:r>
      <w:r>
        <w:t xml:space="preserve">Sales cycles shortened by 29% when biologists handled client consultations, eliminating the need for costly third-party technical validation.</w:t>
      </w:r>
    </w:p>
    <w:bookmarkEnd w:id="22"/>
    <w:bookmarkStart w:id="23" w:name="X7e058b19bd52367812552f1565559e17bf1b35d"/>
    <w:p>
      <w:pPr>
        <w:pStyle w:val="Heading2"/>
      </w:pPr>
      <w:r>
        <w:t xml:space="preserve">Challenges Unique to Biologist Sales in Russia Moscow</w:t>
      </w:r>
    </w:p>
    <w:p>
      <w:pPr>
        <w:pStyle w:val="FirstParagraph"/>
      </w:pPr>
      <w:r>
        <w:t xml:space="preserve">Serving as a Biologist in sales within Russia Moscow presents distinct challenges that necessitate tailored strategies:</w:t>
      </w:r>
    </w:p>
    <w:p>
      <w:pPr>
        <w:numPr>
          <w:ilvl w:val="0"/>
          <w:numId w:val="1002"/>
        </w:numPr>
        <w:pStyle w:val="Compact"/>
      </w:pPr>
      <w:r>
        <w:rPr>
          <w:bCs/>
          <w:b/>
        </w:rPr>
        <w:t xml:space="preserve">Regulatory Complexity:</w:t>
      </w:r>
      <w:r>
        <w:t xml:space="preserve"> </w:t>
      </w:r>
      <w:r>
        <w:t xml:space="preserve">Russian Federal Service for Surveillance in Healthcare (Roszdravnadzor) requires extensive technical documentation. Our biologist team reduced compliance errors by 61% through direct engagement with regulatory bodies, avoiding 3-week sales delays common in non-specialist teams.</w:t>
      </w:r>
    </w:p>
    <w:p>
      <w:pPr>
        <w:numPr>
          <w:ilvl w:val="0"/>
          <w:numId w:val="1002"/>
        </w:numPr>
        <w:pStyle w:val="Compact"/>
      </w:pPr>
      <w:r>
        <w:rPr>
          <w:bCs/>
          <w:b/>
        </w:rPr>
        <w:t xml:space="preserve">Competitive Landscape:</w:t>
      </w:r>
      <w:r>
        <w:t xml:space="preserve"> </w:t>
      </w:r>
      <w:r>
        <w:t xml:space="preserve">Local competitors like RusBiotech often lack scientific staff. We countered this by deploying biologists for live product demonstrations at Moscow's "Biotech Summit" events, resulting in 22 qualified leads per event versus industry average of 8.</w:t>
      </w:r>
    </w:p>
    <w:bookmarkEnd w:id="23"/>
    <w:bookmarkStart w:id="24" w:name="X1086e75f422d69aed3dccd004f3d5865540cfeb"/>
    <w:p>
      <w:pPr>
        <w:pStyle w:val="Heading2"/>
      </w:pPr>
      <w:r>
        <w:t xml:space="preserve">Strategic Initiatives: Biologist-Centric Sales Framework</w:t>
      </w:r>
    </w:p>
    <w:p>
      <w:pPr>
        <w:pStyle w:val="FirstParagraph"/>
      </w:pPr>
      <w:r>
        <w:t xml:space="preserve">This Sales Report highlights our successful adaptation to Moscow's market through three biologist-optimized strategies:</w:t>
      </w:r>
    </w:p>
    <w:p>
      <w:pPr>
        <w:numPr>
          <w:ilvl w:val="0"/>
          <w:numId w:val="1003"/>
        </w:numPr>
        <w:pStyle w:val="Compact"/>
      </w:pPr>
      <w:r>
        <w:rPr>
          <w:bCs/>
          <w:b/>
        </w:rPr>
        <w:t xml:space="preserve">Technical Account Management (TAM):</w:t>
      </w:r>
      <w:r>
        <w:t xml:space="preserve"> </w:t>
      </w:r>
      <w:r>
        <w:t xml:space="preserve">Assigning each major Moscow client a dedicated Biologist for ongoing scientific consultation. This program increased average contract value by 38% and reduced churn by 25% in Q3.</w:t>
      </w:r>
    </w:p>
    <w:p>
      <w:pPr>
        <w:numPr>
          <w:ilvl w:val="0"/>
          <w:numId w:val="1003"/>
        </w:numPr>
        <w:pStyle w:val="Compact"/>
      </w:pPr>
      <w:r>
        <w:rPr>
          <w:bCs/>
          <w:b/>
        </w:rPr>
        <w:t xml:space="preserve">Moscow Science Network:</w:t>
      </w:r>
      <w:r>
        <w:t xml:space="preserve"> </w:t>
      </w:r>
      <w:r>
        <w:t xml:space="preserve">Partnering with Moscow State University's biotechnology department to create a "Sales-Science Advisory Board." Biologists from our team now co-design training modules for university students, generating pipeline opportunities and enhancing brand authority in the capital.</w:t>
      </w:r>
    </w:p>
    <w:p>
      <w:pPr>
        <w:numPr>
          <w:ilvl w:val="0"/>
          <w:numId w:val="1003"/>
        </w:numPr>
        <w:pStyle w:val="Compact"/>
      </w:pPr>
      <w:r>
        <w:rPr>
          <w:bCs/>
          <w:b/>
        </w:rPr>
        <w:t xml:space="preserve">Regulatory Sales Acceleration:</w:t>
      </w:r>
      <w:r>
        <w:t xml:space="preserve"> </w:t>
      </w:r>
      <w:r>
        <w:t xml:space="preserve">Developing an internal biologists' certification program on Russian pharmaceutical regulations. Post-certification, our sales-to-implementation timeline decreased by 34%, directly improving cash flow in Russia Moscow operations.</w:t>
      </w:r>
    </w:p>
    <w:bookmarkEnd w:id="24"/>
    <w:bookmarkStart w:id="25" w:name="future-outlook-and-recommendations"/>
    <w:p>
      <w:pPr>
        <w:pStyle w:val="Heading2"/>
      </w:pPr>
      <w:r>
        <w:t xml:space="preserve">Future Outlook and Recommendations</w:t>
      </w:r>
    </w:p>
    <w:p>
      <w:pPr>
        <w:pStyle w:val="FirstParagraph"/>
      </w:pPr>
      <w:r>
        <w:t xml:space="preserve">Based on this Sales Report, the following recommendations will strengthen biologists' impact in Russia Moscow:</w:t>
      </w:r>
    </w:p>
    <w:p>
      <w:pPr>
        <w:numPr>
          <w:ilvl w:val="0"/>
          <w:numId w:val="1004"/>
        </w:numPr>
        <w:pStyle w:val="Compact"/>
      </w:pPr>
      <w:r>
        <w:rPr>
          <w:bCs/>
          <w:b/>
        </w:rPr>
        <w:t xml:space="preserve">Expand Biologist Training in Moscow:</w:t>
      </w:r>
      <w:r>
        <w:t xml:space="preserve"> </w:t>
      </w:r>
      <w:r>
        <w:t xml:space="preserve">Allocate 15% of sales budget to advanced technical certifications for our biologist team—particularly in genomics and AI-driven diagnostics, where demand is surging.</w:t>
      </w:r>
    </w:p>
    <w:p>
      <w:pPr>
        <w:numPr>
          <w:ilvl w:val="0"/>
          <w:numId w:val="1004"/>
        </w:numPr>
        <w:pStyle w:val="Compact"/>
      </w:pPr>
      <w:r>
        <w:rPr>
          <w:bCs/>
          <w:b/>
        </w:rPr>
        <w:t xml:space="preserve">Leverage Moscow's Innovation Hubs:</w:t>
      </w:r>
      <w:r>
        <w:t xml:space="preserve"> </w:t>
      </w:r>
      <w:r>
        <w:t xml:space="preserve">Target Skolkovo Innovation Center biotech startups with customized solutions. Our pilot program with 5 Skolkovo firms generated $210K in Q3 revenue.</w:t>
      </w:r>
    </w:p>
    <w:bookmarkEnd w:id="25"/>
    <w:bookmarkStart w:id="27" w:name="conclusion"/>
    <w:p>
      <w:pPr>
        <w:pStyle w:val="Heading2"/>
      </w:pPr>
      <w:r>
        <w:t xml:space="preserve">Conclusion</w:t>
      </w:r>
    </w:p>
    <w:p>
      <w:pPr>
        <w:pStyle w:val="FirstParagraph"/>
      </w:pPr>
      <w:r>
        <w:t xml:space="preserve">This Sales Report conclusively demonstrates that a Biologist's scientific expertise is not merely advantageous but essential for commercial success in Russia Moscow. The city's biotech market demands technical credibility at every sales touchpoint—from initial client engagement to regulatory compliance. Our biologist-led approach has outperformed traditional sales models by 31% in key metrics, proving that specialized scientific knowledge drives revenue growth where generic sales tactics fail. As Russia Moscow continues its strategic push toward biotechnology self-sufficiency, the role of the Biologist in sales will evolve from support function to central commercial driver. We recommend institutionalizing biologist-led account management across all Russian operations by Q1 2024, with Moscow as the flagship model for national expansion.</w:t>
      </w:r>
    </w:p>
    <w:p>
      <w:pPr>
        <w:pStyle w:val="BodyText"/>
      </w:pPr>
      <w:r>
        <w:rPr>
          <w:bCs/>
          <w:b/>
        </w:rPr>
        <w:t xml:space="preserve">Prepared By:</w:t>
      </w:r>
      <w:r>
        <w:t xml:space="preserve"> </w:t>
      </w:r>
      <w:r>
        <w:t xml:space="preserve">Dr. Elena Petrova, Senior Biologist &amp; Sales Strategy Lead</w:t>
      </w:r>
      <w:r>
        <w:br/>
      </w:r>
      <w:r>
        <w:rPr>
          <w:bCs/>
          <w:b/>
        </w:rPr>
        <w:t xml:space="preserve">Report Date:</w:t>
      </w:r>
      <w:r>
        <w:t xml:space="preserve"> </w:t>
      </w:r>
      <w:r>
        <w:t xml:space="preserve">October 26, 2023</w:t>
      </w:r>
      <w:r>
        <w:br/>
      </w:r>
      <w:r>
        <w:rPr>
          <w:bCs/>
          <w:b/>
        </w:rPr>
        <w:t xml:space="preserve">Coverage Area:</w:t>
      </w:r>
      <w:r>
        <w:t xml:space="preserve"> </w:t>
      </w:r>
      <w:r>
        <w:t xml:space="preserve">Russia Moscow Metropolitan Region (including Federal City and Surrounding Oblasts)</w:t>
      </w:r>
    </w:p>
    <w:bookmarkStart w:id="26" w:name="appendix-key-metrics-summary"/>
    <w:p>
      <w:pPr>
        <w:pStyle w:val="Heading3"/>
      </w:pPr>
      <w:r>
        <w:t xml:space="preserve">Appendix: Key Metrics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 Result</w:t>
            </w:r>
          </w:p>
        </w:tc>
        <w:tc>
          <w:tcPr/>
          <w:p>
            <w:pPr>
              <w:pStyle w:val="Compact"/>
              <w:jc w:val="left"/>
            </w:pPr>
            <w:r>
              <w:t xml:space="preserve">YoY Change</w:t>
            </w:r>
          </w:p>
        </w:tc>
      </w:tr>
      <w:tr>
        <w:tc>
          <w:tcPr/>
          <w:p>
            <w:pPr>
              <w:pStyle w:val="Compact"/>
              <w:jc w:val="left"/>
            </w:pPr>
            <w:r>
              <w:t xml:space="preserve">Total Sales (Moscow)</w:t>
            </w:r>
          </w:p>
        </w:tc>
        <w:tc>
          <w:tcPr/>
          <w:p>
            <w:pPr>
              <w:pStyle w:val="Compact"/>
              <w:jc w:val="left"/>
            </w:pPr>
            <w:r>
              <w:t xml:space="preserve">$1.84M</w:t>
            </w:r>
          </w:p>
        </w:tc>
        <w:tc>
          <w:tcPr/>
          <w:p>
            <w:pPr>
              <w:pStyle w:val="Compact"/>
              <w:jc w:val="left"/>
            </w:pPr>
            <w:r>
              <w:t xml:space="preserve">+27%</w:t>
            </w:r>
          </w:p>
        </w:tc>
      </w:tr>
      <w:tr>
        <w:tc>
          <w:tcPr/>
          <w:p>
            <w:pPr>
              <w:pStyle w:val="Compact"/>
              <w:jc w:val="left"/>
            </w:pPr>
            <w:r>
              <w:t xml:space="preserve">Biologist-Led Deals Close Rate</w:t>
            </w:r>
          </w:p>
        </w:tc>
        <w:tc>
          <w:tcPr/>
          <w:p>
            <w:pPr>
              <w:pStyle w:val="Compact"/>
              <w:jc w:val="left"/>
            </w:pPr>
            <w:r>
              <w:t xml:space="preserve">63.2%</w:t>
            </w:r>
          </w:p>
        </w:tc>
        <w:tc>
          <w:tcPr/>
          <w:p>
            <w:pPr>
              <w:pStyle w:val="Compact"/>
              <w:jc w:val="left"/>
            </w:pPr>
            <w:r>
              <w:t xml:space="preserve">+15.7% (vs non-biologist)</w:t>
            </w:r>
          </w:p>
        </w:tc>
      </w:tr>
      <w:tr>
        <w:tc>
          <w:tcPr/>
          <w:p>
            <w:pPr>
              <w:pStyle w:val="Compact"/>
              <w:jc w:val="left"/>
            </w:pPr>
            <w:r>
              <w:t xml:space="preserve">Avg. Deal Size (Moscow)</w:t>
            </w:r>
          </w:p>
        </w:tc>
        <w:tc>
          <w:tcPr/>
          <w:p>
            <w:pPr>
              <w:pStyle w:val="Compact"/>
              <w:jc w:val="left"/>
            </w:pPr>
            <w:r>
              <w:t xml:space="preserve">$48,500</w:t>
            </w:r>
          </w:p>
        </w:tc>
        <w:tc>
          <w:tcPr/>
          <w:p>
            <w:pPr>
              <w:pStyle w:val="Compact"/>
              <w:jc w:val="left"/>
            </w:pPr>
            <w:r>
              <w:t xml:space="preserve">+38%</w:t>
            </w:r>
          </w:p>
        </w:tc>
      </w:tr>
      <w:tr>
        <w:tc>
          <w:tcPr/>
          <w:p>
            <w:pPr>
              <w:pStyle w:val="Compact"/>
              <w:jc w:val="left"/>
            </w:pPr>
            <w:r>
              <w:t xml:space="preserve">Client Retention Rate</w:t>
            </w:r>
          </w:p>
        </w:tc>
        <w:tc>
          <w:tcPr/>
          <w:p>
            <w:pPr>
              <w:pStyle w:val="Compact"/>
              <w:jc w:val="left"/>
            </w:pPr>
            <w:r>
              <w:t xml:space="preserve">63%</w:t>
            </w:r>
          </w:p>
        </w:tc>
        <w:tc>
          <w:tcPr/>
          <w:p>
            <w:pPr>
              <w:pStyle w:val="Compact"/>
              <w:jc w:val="left"/>
            </w:pPr>
            <w:r>
              <w:t xml:space="preserve">+15% (vs industry avg)</w:t>
            </w:r>
          </w:p>
        </w:tc>
      </w:tr>
    </w:tbl>
    <w:p>
      <w:pPr>
        <w:pStyle w:val="BodyText"/>
      </w:pPr>
      <w:r>
        <w:rPr>
          <w:iCs/>
          <w:i/>
        </w:rPr>
        <w:t xml:space="preserve">Note: All data sourced from Moscow Regional Sales Database (Q3 2023). Russia Moscow market analysis verified against Rosstat and Russian Biotech Association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Russia Moscow Market</dc:title>
  <dc:creator/>
  <dc:language>en</dc:language>
  <cp:keywords/>
  <dcterms:created xsi:type="dcterms:W3CDTF">2026-07-23T11:53:54Z</dcterms:created>
  <dcterms:modified xsi:type="dcterms:W3CDTF">2026-07-23T11:53:54Z</dcterms:modified>
</cp:coreProperties>
</file>

<file path=docProps/custom.xml><?xml version="1.0" encoding="utf-8"?>
<Properties xmlns="http://schemas.openxmlformats.org/officeDocument/2006/custom-properties" xmlns:vt="http://schemas.openxmlformats.org/officeDocument/2006/docPropsVTypes"/>
</file>