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Biological</w:t>
      </w:r>
      <w:r>
        <w:t xml:space="preserve"> </w:t>
      </w:r>
      <w:r>
        <w:t xml:space="preserve">Solutions</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Market</w:t>
      </w:r>
    </w:p>
    <w:bookmarkStart w:id="29" w:name="X150d2149152fcb96c77c9c79b97b10c6c3b0dda"/>
    <w:p>
      <w:pPr>
        <w:pStyle w:val="Heading1"/>
      </w:pPr>
      <w:r>
        <w:t xml:space="preserve">Sales Report: Strategic Performance of Biological Solutions Division in Russia Saint Petersburg</w:t>
      </w:r>
    </w:p>
    <w:p>
      <w:pPr>
        <w:pStyle w:val="FirstParagraph"/>
      </w:pPr>
      <w:r>
        <w:rPr>
          <w:bCs/>
          <w:b/>
        </w:rPr>
        <w:t xml:space="preserve">Prepared For:</w:t>
      </w:r>
      <w:r>
        <w:t xml:space="preserve"> </w:t>
      </w:r>
      <w:r>
        <w:t xml:space="preserve">Executive Leadership, Global Biotechnology Division</w:t>
      </w:r>
      <w:r>
        <w:br/>
      </w:r>
      <w:r>
        <w:rPr>
          <w:bCs/>
          <w:b/>
        </w:rPr>
        <w:t xml:space="preserve">Date:</w:t>
      </w:r>
      <w:r>
        <w:t xml:space="preserve"> </w:t>
      </w:r>
      <w:r>
        <w:t xml:space="preserve">October 26, 2023</w:t>
      </w:r>
      <w:r>
        <w:br/>
      </w:r>
      <w:r>
        <w:rPr>
          <w:bCs/>
          <w:b/>
        </w:rPr>
        <w:t xml:space="preserve">Reporting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Biological Solutions Division across the strategically critical Russia Saint Petersburg market. Despite global economic headwinds and regional regulatory complexities, our team achieved a remarkable 18.7% year-over-year growth in sales volume within Saint Petersburg, exceeding initial projections by 3.2%. The success stems from deep integration with local scientific institutions and adaptive strategies tailored to the unique needs of biologists operating in this dynamic Russian hub. This report underscores how our commitment to understanding the biology research ecosystem in Russia Saint Petersburg has directly translated into commercial excellence.</w:t>
      </w:r>
    </w:p>
    <w:bookmarkEnd w:id="20"/>
    <w:bookmarkStart w:id="21" w:name="X5aaac98b49c80a5e62f2d1b41de882b1c30336a"/>
    <w:p>
      <w:pPr>
        <w:pStyle w:val="Heading2"/>
      </w:pPr>
      <w:r>
        <w:t xml:space="preserve">Market Context: Why Russia Saint Petersburg?</w:t>
      </w:r>
    </w:p>
    <w:p>
      <w:pPr>
        <w:pStyle w:val="FirstParagraph"/>
      </w:pPr>
      <w:r>
        <w:t xml:space="preserve">Russia Saint Petersburg is not merely a city on our sales map—it is a cornerstone of biological innovation in Eastern Europe. Home to institutions like St. Petersburg State University, the Russian Academy of Sciences' Biological Research Institutes, and the Petrodvorets Biotechnology Cluster, this city represents a concentrated ecosystem where academic biologists drive demand for cutting-edge laboratory solutions and environmental analysis services. Our Sales Report confirms that 68% of our total regional revenue originates from Saint Petersburg-based clients (including universities, governmental environmental agencies like the Saint Petersburg Department of Natural Resources, and private biotech firms). The presence of over 350 active research biologists within a 15km radius of the city center creates a high-potential market requiring specialized biological expertise in sales and support.</w:t>
      </w:r>
    </w:p>
    <w:bookmarkEnd w:id="21"/>
    <w:bookmarkStart w:id="22" w:name="Xf30fa85b625a6929e6cbab6ef5fdfbfa55557f6"/>
    <w:p>
      <w:pPr>
        <w:pStyle w:val="Heading2"/>
      </w:pPr>
      <w:r>
        <w:t xml:space="preserve">Key Performance Metrics (Russia Saint Petersburg Focus)</w:t>
      </w:r>
    </w:p>
    <w:p>
      <w:pPr>
        <w:pStyle w:val="FirstParagraph"/>
      </w:pPr>
      <w:r>
        <w:t xml:space="preserve">Our Sales Report highlights concrete achievements in the Saint Petersburg market:</w:t>
      </w:r>
    </w:p>
    <w:p>
      <w:pPr>
        <w:numPr>
          <w:ilvl w:val="0"/>
          <w:numId w:val="1001"/>
        </w:numPr>
        <w:pStyle w:val="Compact"/>
      </w:pPr>
      <w:r>
        <w:rPr>
          <w:bCs/>
          <w:b/>
        </w:rPr>
        <w:t xml:space="preserve">Revenue Growth:</w:t>
      </w:r>
      <w:r>
        <w:t xml:space="preserve"> </w:t>
      </w:r>
      <w:r>
        <w:t xml:space="preserve">$1.48M (Q3 2023) vs. $1.25M (Q3 2022), driven by a 47% increase in orders for genomic sequencing services and environmental DNA analysis kits.</w:t>
      </w:r>
    </w:p>
    <w:p>
      <w:pPr>
        <w:numPr>
          <w:ilvl w:val="0"/>
          <w:numId w:val="1001"/>
        </w:numPr>
        <w:pStyle w:val="Compact"/>
      </w:pPr>
      <w:r>
        <w:rPr>
          <w:bCs/>
          <w:b/>
        </w:rPr>
        <w:t xml:space="preserve">Product Penetration:</w:t>
      </w:r>
      <w:r>
        <w:t xml:space="preserve"> </w:t>
      </w:r>
      <w:r>
        <w:t xml:space="preserve">Achieved 32% market share in high-sensitivity lab equipment within Saint Petersburg's university network (up from 19% in 2021), facilitated by biologist-led technical demonstrations at local symposiums.</w:t>
      </w:r>
    </w:p>
    <w:p>
      <w:pPr>
        <w:numPr>
          <w:ilvl w:val="0"/>
          <w:numId w:val="1001"/>
        </w:numPr>
        <w:pStyle w:val="Compact"/>
      </w:pPr>
      <w:r>
        <w:rPr>
          <w:bCs/>
          <w:b/>
        </w:rPr>
        <w:t xml:space="preserve">Cross-Sell Success:</w:t>
      </w:r>
      <w:r>
        <w:t xml:space="preserve"> </w:t>
      </w:r>
      <w:r>
        <w:t xml:space="preserve">58% of new clients purchased complementary environmental monitoring solutions after initial biology-focused equipment sales, showcasing the synergy of our integrated approach.</w:t>
      </w:r>
    </w:p>
    <w:bookmarkEnd w:id="22"/>
    <w:bookmarkStart w:id="25" w:name="Xe1c92b4d0bc7a00885636a6aa093624339ceecc"/>
    <w:p>
      <w:pPr>
        <w:pStyle w:val="Heading2"/>
      </w:pPr>
      <w:r>
        <w:t xml:space="preserve">Strategic Initiatives Driving Sales in Russia Saint Petersburg</w:t>
      </w:r>
    </w:p>
    <w:p>
      <w:pPr>
        <w:pStyle w:val="FirstParagraph"/>
      </w:pPr>
      <w:r>
        <w:t xml:space="preserve">The success documented in this Sales Report is rooted in two core strategies specific to Saint Petersburg's biological research landscape:</w:t>
      </w:r>
    </w:p>
    <w:bookmarkStart w:id="23" w:name="biologist-centric-account-management"/>
    <w:p>
      <w:pPr>
        <w:pStyle w:val="Heading3"/>
      </w:pPr>
      <w:r>
        <w:t xml:space="preserve">1. Biologist-Centric Account Management</w:t>
      </w:r>
    </w:p>
    <w:p>
      <w:pPr>
        <w:pStyle w:val="FirstParagraph"/>
      </w:pPr>
      <w:r>
        <w:t xml:space="preserve">We deployed a dedicated team of sales professionals with advanced biology credentials (PhDs and MScs) to manage key accounts. These biologists-in-sales conducted site visits at institutions like the St. Petersburg State Medical University, understanding their exact workflow challenges—such as seasonal variations in water quality testing or RNA degradation during cold months—to recommend precise solutions. This approach directly translated into a 27% higher client retention rate compared to non-specialized sales models in Russia Saint Petersburg.</w:t>
      </w:r>
    </w:p>
    <w:bookmarkEnd w:id="23"/>
    <w:bookmarkStart w:id="24" w:name="localization-of-scientific-support"/>
    <w:p>
      <w:pPr>
        <w:pStyle w:val="Heading3"/>
      </w:pPr>
      <w:r>
        <w:t xml:space="preserve">2. Localization of Scientific Support</w:t>
      </w:r>
    </w:p>
    <w:p>
      <w:pPr>
        <w:pStyle w:val="FirstParagraph"/>
      </w:pPr>
      <w:r>
        <w:t xml:space="preserve">Russia Saint Petersburg's unique climate and regulatory environment necessitate localized support. Our Sales Report confirms that establishing a permanent technical support office near the St. Petersburg Ring Road (opened Q2 2023) reduced equipment service response times from 7 days to under 48 hours during peak research seasons. This proximity enabled biologists working at the Baltic Sea Research Institute to receive same-week calibration for sensitive spectrophotometers, directly impacting their publication timelines and boosting our reputation.</w:t>
      </w:r>
    </w:p>
    <w:bookmarkEnd w:id="24"/>
    <w:bookmarkEnd w:id="25"/>
    <w:bookmarkStart w:id="26" w:name="Xf97524560ffc6d8c048457e095b31aea04c2dbf"/>
    <w:p>
      <w:pPr>
        <w:pStyle w:val="Heading2"/>
      </w:pPr>
      <w:r>
        <w:t xml:space="preserve">Challenges and Mitigation in the Russia Saint Petersburg Market</w:t>
      </w:r>
    </w:p>
    <w:p>
      <w:pPr>
        <w:pStyle w:val="FirstParagraph"/>
      </w:pPr>
      <w:r>
        <w:t xml:space="preserve">This Sales Report also addresses challenges specific to operating as a biology-focused company in Saint Petersburg. Currency volatility impacted pricing consistency for imported lab components, though we mitigated this through localized partnerships with Russian chemical suppliers. Regulatory hurdles under the Ministry of Health's new guidelines for environmental DNA sampling initially delayed 12% of orders; our biologist-sales team collaborated directly with the Saint Petersburg regulatory affairs office to co-develop compliant protocols, turning a potential obstacle into a strategic advantage that strengthened client trust.</w:t>
      </w:r>
    </w:p>
    <w:bookmarkEnd w:id="26"/>
    <w:bookmarkStart w:id="27" w:name="X66514222f81ce73f834cfde81b4b5f30664e032"/>
    <w:p>
      <w:pPr>
        <w:pStyle w:val="Heading2"/>
      </w:pPr>
      <w:r>
        <w:t xml:space="preserve">Future Outlook: Scaling Biology Sales in Russia Saint Petersburg</w:t>
      </w:r>
    </w:p>
    <w:p>
      <w:pPr>
        <w:pStyle w:val="FirstParagraph"/>
      </w:pPr>
      <w:r>
        <w:t xml:space="preserve">Based on the trajectory documented in this Sales Report, we project 25% growth for the full year 2023. Our strategy for Russia Saint Petersburg focuses on three pillars:</w:t>
      </w:r>
    </w:p>
    <w:p>
      <w:pPr>
        <w:numPr>
          <w:ilvl w:val="0"/>
          <w:numId w:val="1002"/>
        </w:numPr>
        <w:pStyle w:val="Compact"/>
      </w:pPr>
      <w:r>
        <w:rPr>
          <w:bCs/>
          <w:b/>
        </w:rPr>
        <w:t xml:space="preserve">Deepening University Partnerships:</w:t>
      </w:r>
      <w:r>
        <w:t xml:space="preserve"> </w:t>
      </w:r>
      <w:r>
        <w:t xml:space="preserve">Launching a joint research grant program with St. Petersburg State University’s Biology Faculty, co-developing tools for permafrost ecosystem studies—a high-demand niche among local biologists.</w:t>
      </w:r>
    </w:p>
    <w:p>
      <w:pPr>
        <w:numPr>
          <w:ilvl w:val="0"/>
          <w:numId w:val="1002"/>
        </w:numPr>
        <w:pStyle w:val="Compact"/>
      </w:pPr>
      <w:r>
        <w:rPr>
          <w:bCs/>
          <w:b/>
        </w:rPr>
        <w:t xml:space="preserve">Digital Integration:</w:t>
      </w:r>
      <w:r>
        <w:t xml:space="preserve"> </w:t>
      </w:r>
      <w:r>
        <w:t xml:space="preserve">Implementing a Russian-language portal for Saint Petersburg users to schedule biologist-led virtual consultations and access region-specific technical guides (launch Q1 2024).</w:t>
      </w:r>
    </w:p>
    <w:p>
      <w:pPr>
        <w:numPr>
          <w:ilvl w:val="0"/>
          <w:numId w:val="1002"/>
        </w:numPr>
        <w:pStyle w:val="Compact"/>
      </w:pPr>
      <w:r>
        <w:rPr>
          <w:bCs/>
          <w:b/>
        </w:rPr>
        <w:t xml:space="preserve">Sustainable Solutions Focus:</w:t>
      </w:r>
      <w:r>
        <w:t xml:space="preserve"> </w:t>
      </w:r>
      <w:r>
        <w:t xml:space="preserve">Developing eco-certified reagents aligned with Saint Petersburg’s Green City Initiative, targeting 30% of new sales by end-2024.</w:t>
      </w:r>
    </w:p>
    <w:bookmarkEnd w:id="27"/>
    <w:bookmarkStart w:id="28" w:name="conclusion"/>
    <w:p>
      <w:pPr>
        <w:pStyle w:val="Heading2"/>
      </w:pPr>
      <w:r>
        <w:t xml:space="preserve">Conclusion</w:t>
      </w:r>
    </w:p>
    <w:p>
      <w:pPr>
        <w:pStyle w:val="FirstParagraph"/>
      </w:pPr>
      <w:r>
        <w:t xml:space="preserve">This Sales Report unequivocally demonstrates that understanding the biology landscape in Russia Saint Petersburg is not just advantageous—it is fundamental to commercial success. The integration of biologists into our sales and support structure has created a competitive moat, allowing us to address complex scientific needs where generic vendors fail. As we continue expanding our footprint across Russia, the Saint Petersburg market serves as the blueprint: leveraging local biological expertise to drive global sales excellence. We remain committed to being the trusted partner for every biologist in Russia Saint Petersburg who demands solutions as precise and dynamic as their research.</w:t>
      </w:r>
    </w:p>
    <w:p>
      <w:pPr>
        <w:pStyle w:val="BodyText"/>
      </w:pPr>
      <w:r>
        <w:rPr>
          <w:bCs/>
          <w:b/>
        </w:rPr>
        <w:t xml:space="preserve">Prepared By:</w:t>
      </w:r>
      <w:r>
        <w:t xml:space="preserve"> </w:t>
      </w:r>
      <w:r>
        <w:t xml:space="preserve">Elena Petrova, Director of Sales &amp; Strategic Partnerships (Russia &amp; Baltics)</w:t>
      </w:r>
      <w:r>
        <w:br/>
      </w:r>
      <w:r>
        <w:rPr>
          <w:bCs/>
          <w:b/>
        </w:rPr>
        <w:t xml:space="preserve">Confidentiality:</w:t>
      </w:r>
      <w:r>
        <w:t xml:space="preserve"> </w:t>
      </w:r>
      <w:r>
        <w:t xml:space="preserve">This document contains proprietary sales intelligence for internal use only. Distribution requires executive authorization.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Biological Solutions in Russia Saint Petersburg Market</dc:title>
  <dc:creator/>
  <dc:language>en</dc:language>
  <cp:keywords/>
  <dcterms:created xsi:type="dcterms:W3CDTF">2026-07-24T12:29:36Z</dcterms:created>
  <dcterms:modified xsi:type="dcterms:W3CDTF">2026-07-24T12:29:36Z</dcterms:modified>
</cp:coreProperties>
</file>

<file path=docProps/custom.xml><?xml version="1.0" encoding="utf-8"?>
<Properties xmlns="http://schemas.openxmlformats.org/officeDocument/2006/custom-properties" xmlns:vt="http://schemas.openxmlformats.org/officeDocument/2006/docPropsVTypes"/>
</file>