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Biologist</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cf88d6a116f1f21ed643e6351ee0bb03961c069"/>
    <w:p>
      <w:pPr>
        <w:pStyle w:val="Heading1"/>
      </w:pPr>
      <w:r>
        <w:t xml:space="preserve">Q3 2023 SALES REPORT: BIOLOGIST SERVICES IN SAUDI ARABIA RIYADH</w:t>
      </w:r>
    </w:p>
    <w:p>
      <w:pPr>
        <w:pStyle w:val="FirstParagraph"/>
      </w:pPr>
      <w:r>
        <w:rPr>
          <w:bCs/>
          <w:b/>
        </w:rPr>
        <w:t xml:space="preserve">Prepared For:</w:t>
      </w:r>
      <w:r>
        <w:t xml:space="preserve"> </w:t>
      </w:r>
      <w:r>
        <w:t xml:space="preserve">Riyadh Regional Management, Saudi Vision 2030 Strategic Initiatives</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Sales Report details the performance of Biologist services across Riyadh and key regions of Saudi Arabia. The Q3 period demonstrated exceptional growth in biotechnology solutions, with a remarkable 38% year-over-year increase in sales revenue for our biology-focused service portfolio. This achievement directly supports Saudi Arabia's Vision 2030 objectives in environmental sustainability and healthcare innovation. Our Riyadh-based Biologist team has proven instrumental in securing major contracts with government entities and private sector partners, establishing Riyadh as a strategic hub for biological services in the Kingdom.</w:t>
      </w:r>
    </w:p>
    <w:p>
      <w:pPr>
        <w:pStyle w:val="BodyText"/>
      </w:pPr>
      <w:r>
        <w:rPr>
          <w:bCs/>
          <w:b/>
        </w:rPr>
        <w:t xml:space="preserve">Key Achievement:</w:t>
      </w:r>
      <w:r>
        <w:t xml:space="preserve"> </w:t>
      </w:r>
      <w:r>
        <w:t xml:space="preserve">Closed 17 new contracts worth SAR 24.8M, including three landmark projects with the Ministry of Environment, Water and Agriculture (MEWA) and King Abdullah University of Science and Technology (KAUST). This represents a 22% increase in contract volume compared to Q2, positioning Riyadh as the top-performing city for Biologist services within Saudi Arabia.</w:t>
      </w:r>
    </w:p>
    <w:bookmarkEnd w:id="20"/>
    <w:bookmarkStart w:id="21" w:name="X48aa34d31bc808981adf71290378d87587c8296"/>
    <w:p>
      <w:pPr>
        <w:pStyle w:val="Heading2"/>
      </w:pPr>
      <w:r>
        <w:t xml:space="preserve">Market Analysis: Biologist Services in Saudi Arabia Riyadh</w:t>
      </w:r>
    </w:p>
    <w:p>
      <w:pPr>
        <w:pStyle w:val="FirstParagraph"/>
      </w:pPr>
      <w:r>
        <w:t xml:space="preserve">Riyadh's position as the economic and administrative capital of Saudi Arabia has created unprecedented demand for specialized biologist services. The Kingdom's accelerated development under Vision 2030 has prioritized environmental protection (National Environmental Strategy), healthcare modernization (Saudi Health Transformation Program), and agricultural innovation (Food Security Initiative). These national priorities have generated a surge in demand for qualified Biologists across multiple sectors:</w:t>
      </w:r>
    </w:p>
    <w:p>
      <w:pPr>
        <w:numPr>
          <w:ilvl w:val="0"/>
          <w:numId w:val="1001"/>
        </w:numPr>
        <w:pStyle w:val="Compact"/>
      </w:pPr>
      <w:r>
        <w:rPr>
          <w:bCs/>
          <w:b/>
        </w:rPr>
        <w:t xml:space="preserve">Environmental Compliance:</w:t>
      </w:r>
      <w:r>
        <w:t xml:space="preserve"> </w:t>
      </w:r>
      <w:r>
        <w:t xml:space="preserve">42% of new contracts related to environmental impact assessments for major infrastructure projects</w:t>
      </w:r>
    </w:p>
    <w:p>
      <w:pPr>
        <w:numPr>
          <w:ilvl w:val="0"/>
          <w:numId w:val="1001"/>
        </w:numPr>
        <w:pStyle w:val="Compact"/>
      </w:pPr>
      <w:r>
        <w:rPr>
          <w:bCs/>
          <w:b/>
        </w:rPr>
        <w:t xml:space="preserve">Pharmaceutical &amp; Healthcare:</w:t>
      </w:r>
      <w:r>
        <w:t xml:space="preserve"> </w:t>
      </w:r>
      <w:r>
        <w:t xml:space="preserve">31% of sales from biotech testing services for domestic pharmaceutical manufacturers</w:t>
      </w:r>
    </w:p>
    <w:p>
      <w:pPr>
        <w:numPr>
          <w:ilvl w:val="0"/>
          <w:numId w:val="1001"/>
        </w:numPr>
        <w:pStyle w:val="Compact"/>
      </w:pPr>
      <w:r>
        <w:rPr>
          <w:bCs/>
          <w:b/>
        </w:rPr>
        <w:t xml:space="preserve">Agricultural Biotechnology:</w:t>
      </w:r>
      <w:r>
        <w:t xml:space="preserve"> </w:t>
      </w:r>
      <w:r>
        <w:t xml:space="preserve">27% from soil health analysis and crop genetics research programs</w:t>
      </w:r>
    </w:p>
    <w:bookmarkEnd w:id="21"/>
    <w:bookmarkStart w:id="23" w:name="sales-performance-breakdown-riyadh-focus"/>
    <w:p>
      <w:pPr>
        <w:pStyle w:val="Heading2"/>
      </w:pPr>
      <w:r>
        <w:t xml:space="preserve">Sales Performance Breakdown: Riyadh Focus</w:t>
      </w:r>
    </w:p>
    <w:p>
      <w:pPr>
        <w:pStyle w:val="FirstParagraph"/>
      </w:pPr>
      <w:r>
        <w:t xml:space="preserve">Our Riyadh operations exceeded targets by 15% in Q3, with the city accounting for 68% of all biotechnology sales in Saudi Arabia. The following table details regional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Riyadh Sales (SAR)</w:t>
            </w:r>
          </w:p>
        </w:tc>
        <w:tc>
          <w:tcPr/>
          <w:p>
            <w:pPr>
              <w:pStyle w:val="Compact"/>
              <w:jc w:val="left"/>
            </w:pPr>
            <w:r>
              <w:t xml:space="preserve">National Market Share</w:t>
            </w:r>
          </w:p>
        </w:tc>
        <w:tc>
          <w:tcPr/>
          <w:p>
            <w:pPr>
              <w:pStyle w:val="Compact"/>
              <w:jc w:val="left"/>
            </w:pPr>
            <w:r>
              <w:t xml:space="preserve">YoY Growth</w:t>
            </w:r>
          </w:p>
        </w:tc>
      </w:tr>
      <w:tr>
        <w:tc>
          <w:tcPr/>
          <w:p>
            <w:pPr>
              <w:pStyle w:val="Compact"/>
              <w:jc w:val="left"/>
            </w:pPr>
            <w:r>
              <w:t xml:space="preserve">Environmental Impact Assessments</w:t>
            </w:r>
          </w:p>
        </w:tc>
        <w:tc>
          <w:tcPr/>
          <w:p>
            <w:pPr>
              <w:pStyle w:val="Compact"/>
              <w:jc w:val="left"/>
            </w:pPr>
            <w:r>
              <w:t xml:space="preserve">9,200,000</w:t>
            </w:r>
          </w:p>
        </w:tc>
        <w:tc>
          <w:tcPr/>
          <w:p>
            <w:pPr>
              <w:pStyle w:val="Compact"/>
              <w:jc w:val="left"/>
            </w:pPr>
            <w:r>
              <w:t xml:space="preserve">73%</w:t>
            </w:r>
          </w:p>
        </w:tc>
        <w:tc>
          <w:tcPr/>
          <w:p>
            <w:pPr>
              <w:pStyle w:val="Compact"/>
              <w:jc w:val="left"/>
            </w:pPr>
            <w:r>
              <w:t xml:space="preserve">+41%</w:t>
            </w:r>
          </w:p>
        </w:tc>
      </w:tr>
      <w:tr>
        <w:tc>
          <w:tcPr/>
          <w:p>
            <w:pPr>
              <w:pStyle w:val="Compact"/>
              <w:jc w:val="left"/>
            </w:pPr>
            <w:r>
              <w:t xml:space="preserve">Clinical Biotechnology Testing</w:t>
            </w:r>
          </w:p>
        </w:tc>
        <w:tc>
          <w:tcPr/>
          <w:p>
            <w:pPr>
              <w:pStyle w:val="Compact"/>
              <w:jc w:val="left"/>
            </w:pPr>
            <w:r>
              <w:t xml:space="preserve">6,850,000</w:t>
            </w:r>
          </w:p>
        </w:tc>
        <w:tc>
          <w:tcPr/>
          <w:p>
            <w:pPr>
              <w:pStyle w:val="Compact"/>
              <w:jc w:val="left"/>
            </w:pPr>
            <w:r>
              <w:t xml:space="preserve">65%</w:t>
            </w:r>
          </w:p>
        </w:tc>
        <w:tc>
          <w:tcPr/>
          <w:p>
            <w:pPr>
              <w:pStyle w:val="Compact"/>
              <w:jc w:val="left"/>
            </w:pPr>
            <w:r>
              <w:t xml:space="preserve">+34%</w:t>
            </w:r>
          </w:p>
        </w:tc>
      </w:tr>
      <w:tr>
        <w:tc>
          <w:tcPr/>
          <w:p>
            <w:pPr>
              <w:pStyle w:val="Compact"/>
              <w:jc w:val="left"/>
            </w:pPr>
            <w:r>
              <w:t xml:space="preserve">Total Biologist Services Revenue</w:t>
            </w:r>
          </w:p>
        </w:tc>
        <w:tc>
          <w:tcPr/>
          <w:p>
            <w:pPr>
              <w:pStyle w:val="Compact"/>
              <w:jc w:val="left"/>
            </w:pPr>
            <w:r>
              <w:t xml:space="preserve">24,825,000</w:t>
            </w:r>
          </w:p>
        </w:tc>
        <w:tc>
          <w:tcPr/>
          <w:p>
            <w:pPr>
              <w:pStyle w:val="Compact"/>
              <w:jc w:val="left"/>
            </w:pPr>
            <w:r>
              <w:t xml:space="preserve">68% (National)</w:t>
            </w:r>
          </w:p>
        </w:tc>
        <w:tc>
          <w:tcPr/>
          <w:p>
            <w:pPr>
              <w:pStyle w:val="Compact"/>
              <w:jc w:val="left"/>
            </w:pPr>
            <w:r>
              <w:t xml:space="preserve">+38%</w:t>
            </w:r>
          </w:p>
        </w:tc>
      </w:tr>
    </w:tbl>
    <w:bookmarkStart w:id="22" w:name="Xfc2e15cb390df0134ac708b96977ba058322483"/>
    <w:p>
      <w:pPr>
        <w:pStyle w:val="Heading3"/>
      </w:pPr>
      <w:r>
        <w:t xml:space="preserve">The Critical Role of the Biologist in Sales Success</w:t>
      </w:r>
    </w:p>
    <w:p>
      <w:pPr>
        <w:pStyle w:val="FirstParagraph"/>
      </w:pPr>
      <w:r>
        <w:t xml:space="preserve">Unlike traditional sales roles, our Riyadh-based Biologists serve as technical sales specialists who bridge scientific expertise with commercial solutions. Their unique value proposition has been pivotal to closing high-value contracts:</w:t>
      </w:r>
    </w:p>
    <w:p>
      <w:pPr>
        <w:numPr>
          <w:ilvl w:val="0"/>
          <w:numId w:val="1002"/>
        </w:numPr>
        <w:pStyle w:val="Compact"/>
      </w:pPr>
      <w:r>
        <w:rPr>
          <w:bCs/>
          <w:b/>
        </w:rPr>
        <w:t xml:space="preserve">Technical Credibility:</w:t>
      </w:r>
      <w:r>
        <w:t xml:space="preserve"> </w:t>
      </w:r>
      <w:r>
        <w:t xml:space="preserve">92% of clients cited the Biologist's scientific expertise as the deciding factor in selecting our services over competitors</w:t>
      </w:r>
    </w:p>
    <w:p>
      <w:pPr>
        <w:numPr>
          <w:ilvl w:val="0"/>
          <w:numId w:val="1002"/>
        </w:numPr>
        <w:pStyle w:val="Compact"/>
      </w:pPr>
      <w:r>
        <w:rPr>
          <w:bCs/>
          <w:b/>
        </w:rPr>
        <w:t xml:space="preserve">Vision 2030 Alignment:</w:t>
      </w:r>
      <w:r>
        <w:t xml:space="preserve"> </w:t>
      </w:r>
      <w:r>
        <w:t xml:space="preserve">Our Biologists developed tailored proposals demonstrating how environmental testing services directly support Saudi Arabia's Green Initiative goals</w:t>
      </w:r>
    </w:p>
    <w:p>
      <w:pPr>
        <w:numPr>
          <w:ilvl w:val="0"/>
          <w:numId w:val="1002"/>
        </w:numPr>
        <w:pStyle w:val="Compact"/>
      </w:pPr>
      <w:r>
        <w:rPr>
          <w:bCs/>
          <w:b/>
        </w:rPr>
        <w:t xml:space="preserve">Regulatory Navigation:</w:t>
      </w:r>
      <w:r>
        <w:t xml:space="preserve"> </w:t>
      </w:r>
      <w:r>
        <w:t xml:space="preserve">Deep understanding of SBC (Saudi Building Code) and MEWA regulations accelerated approval processes by 35%</w:t>
      </w:r>
    </w:p>
    <w:bookmarkEnd w:id="22"/>
    <w:bookmarkEnd w:id="23"/>
    <w:bookmarkStart w:id="24" w:name="X2405ec595aa7c9d4e5a3d7a246d22d02ba3f3a8"/>
    <w:p>
      <w:pPr>
        <w:pStyle w:val="Heading2"/>
      </w:pPr>
      <w:r>
        <w:t xml:space="preserve">Challenges &amp; Strategic Solutions in Riyadh Market</w:t>
      </w:r>
    </w:p>
    <w:p>
      <w:pPr>
        <w:pStyle w:val="FirstParagraph"/>
      </w:pPr>
      <w:r>
        <w:t xml:space="preserve">The rapid growth presented significant challenges, particularly in talent acquisition. Riyadh's demand for qualified Biologists has intensified with new biotech investments. Our solutions included:</w:t>
      </w:r>
    </w:p>
    <w:p>
      <w:pPr>
        <w:pStyle w:val="BodyText"/>
      </w:pPr>
      <w:r>
        <w:rPr>
          <w:bCs/>
          <w:b/>
        </w:rPr>
        <w:t xml:space="preserve">Challenge:</w:t>
      </w:r>
      <w:r>
        <w:t xml:space="preserve"> </w:t>
      </w:r>
      <w:r>
        <w:t xml:space="preserve">Shortage of certified environmental Biologists in Riyadh (only 120 qualified professionals across the city)</w:t>
      </w:r>
      <w:r>
        <w:br/>
      </w:r>
      <w:r>
        <w:rPr>
          <w:bCs/>
          <w:b/>
        </w:rPr>
        <w:t xml:space="preserve">Solution:</w:t>
      </w:r>
      <w:r>
        <w:t xml:space="preserve"> </w:t>
      </w:r>
      <w:r>
        <w:t xml:space="preserve">Partnered with King Saud University to establish a specialized training program. Result: 28 new graduates entered our sales-technical pipeline within Q3, directly addressing talent gaps in Saudi Arabia's biology sector.</w:t>
      </w:r>
    </w:p>
    <w:p>
      <w:pPr>
        <w:pStyle w:val="BodyText"/>
      </w:pPr>
      <w:r>
        <w:t xml:space="preserve">Additionally, we overcame cultural barriers by incorporating Sharia-compliant service models into our proposals—a critical factor for securing government contracts in Riyadh. Our Biologist team received specialized cross-cultural training to enhance client relationships within Saudi Arabia's business environment.</w:t>
      </w:r>
    </w:p>
    <w:bookmarkEnd w:id="24"/>
    <w:bookmarkStart w:id="25" w:name="X15c4cb03e40e2e9f3b32cf93a1c08ff5424a8ac"/>
    <w:p>
      <w:pPr>
        <w:pStyle w:val="Heading2"/>
      </w:pPr>
      <w:r>
        <w:t xml:space="preserve">Future Recommendations: Scaling Biologist Services Across Saudi Arabia</w:t>
      </w:r>
    </w:p>
    <w:p>
      <w:pPr>
        <w:pStyle w:val="FirstParagraph"/>
      </w:pPr>
      <w:r>
        <w:t xml:space="preserve">To capitalize on Riyadh's success and expand across Saudi Arabia, we recommend:</w:t>
      </w:r>
    </w:p>
    <w:p>
      <w:pPr>
        <w:numPr>
          <w:ilvl w:val="0"/>
          <w:numId w:val="1003"/>
        </w:numPr>
        <w:pStyle w:val="Compact"/>
      </w:pPr>
      <w:r>
        <w:rPr>
          <w:bCs/>
          <w:b/>
        </w:rPr>
        <w:t xml:space="preserve">Establish a Dedicated Riyadh Biologist Hub:</w:t>
      </w:r>
      <w:r>
        <w:t xml:space="preserve"> </w:t>
      </w:r>
      <w:r>
        <w:t xml:space="preserve">Create a central innovation facility in Riyadh to serve as the nerve center for all biotechnology sales operations across the Kingdom. This hub will coordinate research initiatives with KAUST and SABIC, directly supporting Saudi Arabia's industrial diversification goals.</w:t>
      </w:r>
    </w:p>
    <w:p>
      <w:pPr>
        <w:numPr>
          <w:ilvl w:val="0"/>
          <w:numId w:val="1003"/>
        </w:numPr>
        <w:pStyle w:val="Compact"/>
      </w:pPr>
      <w:r>
        <w:rPr>
          <w:bCs/>
          <w:b/>
        </w:rPr>
        <w:t xml:space="preserve">Develop Vision 2030-Focused Service Packages:</w:t>
      </w:r>
      <w:r>
        <w:t xml:space="preserve"> </w:t>
      </w:r>
      <w:r>
        <w:t xml:space="preserve">Bundle environmental testing services with carbon credit programs to align with Saudi Arabia's net-zero commitments, creating new revenue streams beyond traditional sales.</w:t>
      </w:r>
    </w:p>
    <w:p>
      <w:pPr>
        <w:numPr>
          <w:ilvl w:val="0"/>
          <w:numId w:val="1003"/>
        </w:numPr>
        <w:pStyle w:val="Compact"/>
      </w:pPr>
      <w:r>
        <w:rPr>
          <w:bCs/>
          <w:b/>
        </w:rPr>
        <w:t xml:space="preserve">Leverage Riyadh's Strategic Location:</w:t>
      </w:r>
      <w:r>
        <w:t xml:space="preserve"> </w:t>
      </w:r>
      <w:r>
        <w:t xml:space="preserve">Position our Biologist team as regional experts for the Gulf Cooperation Council (GCC), using Riyadh as a launchpad for expansion into UAE, Qatar, and Kuwait—where similar environmental regulations are emerging.</w:t>
      </w:r>
    </w:p>
    <w:bookmarkEnd w:id="25"/>
    <w:bookmarkStart w:id="26" w:name="Xe3348891aa49f2022884e59e0dd16ef848624a2"/>
    <w:p>
      <w:pPr>
        <w:pStyle w:val="Heading2"/>
      </w:pPr>
      <w:r>
        <w:t xml:space="preserve">Conclusion: Biologist Services Driving Saudi Arabia's Growth</w:t>
      </w:r>
    </w:p>
    <w:p>
      <w:pPr>
        <w:pStyle w:val="FirstParagraph"/>
      </w:pPr>
      <w:r>
        <w:t xml:space="preserve">The Q3 Sales Report confirms that specialized Biologist services have become a strategic asset in Riyadh's commercial landscape. Our team's technical expertise has transformed how biotechnology solutions are sold and delivered in Saudi Arabia, directly contributing to the Kingdom's Vision 2030 objectives. The success achieved by our Riyadh-based Biologists demonstrates that scientific credibility is now a core sales differentiator—not merely an operational requirement.</w:t>
      </w:r>
    </w:p>
    <w:p>
      <w:pPr>
        <w:pStyle w:val="BodyText"/>
      </w:pPr>
      <w:r>
        <w:t xml:space="preserve">As Saudi Arabia accelerates its economic diversification, the demand for qualified Biologists will continue to grow exponentially. Our strategic focus on developing local talent within Riyadh has positioned us as the leading provider of biology-focused services in Saudi Arabia. The 38% YoY growth in Q3 isn't just a sales figure—it's evidence that when technical excellence meets commercial strategy, it drives national progress. We recommend maintaining this dual focus on scientific innovation and market responsiveness to solidify our leadership position across Saudi Arabia Riyadh and beyond.</w:t>
      </w:r>
    </w:p>
    <w:p>
      <w:pPr>
        <w:pStyle w:val="BodyText"/>
      </w:pPr>
      <w:r>
        <w:rPr>
          <w:bCs/>
          <w:b/>
        </w:rPr>
        <w:t xml:space="preserve">Strategic Insight:</w:t>
      </w:r>
      <w:r>
        <w:t xml:space="preserve"> </w:t>
      </w:r>
      <w:r>
        <w:t xml:space="preserve">In Saudi Arabia's evolving market, the Biologist has transitioned from a technical support role to a revenue-generating strategic asset. Our Riyadh operations exemplify how embedding scientific expertise within sales teams creates sustainable growth that aligns with national development goals.</w:t>
      </w:r>
    </w:p>
    <w:p>
      <w:pPr>
        <w:pStyle w:val="BodyText"/>
      </w:pPr>
      <w:r>
        <w:rPr>
          <w:iCs/>
          <w:i/>
        </w:rPr>
        <w:t xml:space="preserve">Prepared by: Riyadh Strategic Sales Division</w:t>
      </w:r>
      <w:r>
        <w:br/>
      </w:r>
      <w:r>
        <w:rPr>
          <w:iCs/>
          <w:i/>
        </w:rPr>
        <w:t xml:space="preserve">Saudi Arabia, Riyadh | BioSolutions International | Driving Science-Based Commercial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Biologist Services in Saudi Arabia Riyadh</dc:title>
  <dc:creator/>
  <dc:language>en</dc:language>
  <cp:keywords/>
  <dcterms:created xsi:type="dcterms:W3CDTF">2026-07-21T13:15:35Z</dcterms:created>
  <dcterms:modified xsi:type="dcterms:W3CDTF">2026-07-21T13:15:35Z</dcterms:modified>
</cp:coreProperties>
</file>

<file path=docProps/custom.xml><?xml version="1.0" encoding="utf-8"?>
<Properties xmlns="http://schemas.openxmlformats.org/officeDocument/2006/custom-properties" xmlns:vt="http://schemas.openxmlformats.org/officeDocument/2006/docPropsVTypes"/>
</file>