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and</w:t>
      </w:r>
      <w:r>
        <w:t xml:space="preserve"> </w:t>
      </w:r>
      <w:r>
        <w:t xml:space="preserve">Equipment</w:t>
      </w:r>
      <w:r>
        <w:t xml:space="preserve"> </w:t>
      </w:r>
      <w:r>
        <w:t xml:space="preserve">Sales</w:t>
      </w:r>
      <w:r>
        <w:t xml:space="preserve"> </w:t>
      </w:r>
      <w:r>
        <w:t xml:space="preserve">Performance</w:t>
      </w:r>
      <w:r>
        <w:t xml:space="preserve"> </w:t>
      </w:r>
      <w:r>
        <w:t xml:space="preserve">in</w:t>
      </w:r>
      <w:r>
        <w:t xml:space="preserve"> </w:t>
      </w:r>
      <w:r>
        <w:t xml:space="preserve">Tashkent,</w:t>
      </w:r>
      <w:r>
        <w:t xml:space="preserve"> </w:t>
      </w:r>
      <w:r>
        <w:t xml:space="preserve">Uzbekistan</w:t>
      </w:r>
    </w:p>
    <w:bookmarkStart w:id="28" w:name="X8b06e295f53822cc8a52554a1e56423aade3b8b"/>
    <w:p>
      <w:pPr>
        <w:pStyle w:val="Heading1"/>
      </w:pPr>
      <w:r>
        <w:t xml:space="preserve">Sales Report: Biological Services and Equipment Sales Performance in Tashkent, Uzbekistan</w:t>
      </w:r>
    </w:p>
    <w:bookmarkStart w:id="20" w:name="executive-summary"/>
    <w:p>
      <w:pPr>
        <w:pStyle w:val="Heading2"/>
      </w:pPr>
      <w:r>
        <w:t xml:space="preserve">Executive Summary</w:t>
      </w:r>
    </w:p>
    <w:p>
      <w:pPr>
        <w:pStyle w:val="FirstParagraph"/>
      </w:pPr>
      <w:r>
        <w:t xml:space="preserve">This comprehensive Sales Report details the performance of biological services and laboratory equipment sales across Tashkent, Uzbekistan during the fiscal year 2023-2024. The report underscores the critical role of biologists in advancing Uzbekistan's agricultural, healthcare, and environmental sectors within Tashkent's rapidly evolving scientific landscape. As a leading provider of biological solutions in Central Asia, our organization has witnessed significant growth in demand for specialized biologist-supported services, directly contributing to 18% year-on-year revenue increase. The strategic focus on empowering biologists through advanced equipment and collaborative projects has positioned us as the preferred partner for Tashkent-based research institutions and healthcare providers.</w:t>
      </w:r>
    </w:p>
    <w:bookmarkEnd w:id="20"/>
    <w:bookmarkStart w:id="21" w:name="Xa80b4c2cffdddc2c41d625b73918b5ba75011a0"/>
    <w:p>
      <w:pPr>
        <w:pStyle w:val="Heading2"/>
      </w:pPr>
      <w:r>
        <w:t xml:space="preserve">Market Analysis: Tashkent's Biological Sector</w:t>
      </w:r>
    </w:p>
    <w:p>
      <w:pPr>
        <w:pStyle w:val="FirstParagraph"/>
      </w:pPr>
      <w:r>
        <w:t xml:space="preserve">Tashkent, the vibrant capital of Uzbekistan, serves as the epicenter of biological innovation in Central Asia. With over 47 active research centers and 15 major healthcare institutions requiring biologist expertise, the demand for specialized biological services has surged. Key drivers include Uzbekistan's National Agricultural Development Strategy (2023), which prioritizes crop genetics improvement and soil health initiatives, and the Ministry of Health's new diagnostic infrastructure plan. Tashkent-based biologists now represent 38% of all biological professionals in Uzbekistan, with demand growing at 14% annually. This growth is particularly evident in three critical sectors: agricultural biotechnology (focusing on cotton and wheat varieties), clinical diagnostics (addressing tuberculosis and hepatitis prevalence), and environmental conservation (monitoring Aral Sea ecosystem recovery).</w:t>
      </w:r>
    </w:p>
    <w:bookmarkEnd w:id="21"/>
    <w:bookmarkStart w:id="22" w:name="sales-performance-data"/>
    <w:p>
      <w:pPr>
        <w:pStyle w:val="Heading2"/>
      </w:pPr>
      <w:r>
        <w:t xml:space="preserve">Sales Performance Data</w:t>
      </w:r>
    </w:p>
    <w:p>
      <w:pPr>
        <w:pStyle w:val="FirstParagraph"/>
      </w:pPr>
      <w:r>
        <w:t xml:space="preserve">The following table presents our core sales metrics for biological services in Tashkent: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Growth (%)</w:t>
            </w:r>
          </w:p>
        </w:tc>
      </w:tr>
      <w:tr>
        <w:tc>
          <w:tcPr/>
          <w:p>
            <w:pPr>
              <w:pStyle w:val="Compact"/>
              <w:jc w:val="left"/>
            </w:pPr>
            <w:r>
              <w:t xml:space="preserve">Laboratory Equipment Sales (to Biologists)</w:t>
            </w:r>
          </w:p>
        </w:tc>
        <w:tc>
          <w:tcPr/>
          <w:p>
            <w:pPr>
              <w:pStyle w:val="Compact"/>
              <w:jc w:val="left"/>
            </w:pPr>
            <w:r>
              <w:t xml:space="preserve">$185,000</w:t>
            </w:r>
          </w:p>
        </w:tc>
        <w:tc>
          <w:tcPr/>
          <w:p>
            <w:pPr>
              <w:pStyle w:val="Compact"/>
              <w:jc w:val="left"/>
            </w:pPr>
            <w:r>
              <w:t xml:space="preserve">$342,000</w:t>
            </w:r>
          </w:p>
        </w:tc>
        <w:tc>
          <w:tcPr/>
          <w:p>
            <w:pPr>
              <w:pStyle w:val="Compact"/>
              <w:jc w:val="left"/>
            </w:pPr>
            <w:r>
              <w:t xml:space="preserve">84.9%</w:t>
            </w:r>
          </w:p>
        </w:tc>
      </w:tr>
      <w:tr>
        <w:tc>
          <w:tcPr/>
          <w:p>
            <w:pPr>
              <w:pStyle w:val="Compact"/>
              <w:jc w:val="left"/>
            </w:pPr>
            <w:r>
              <w:t xml:space="preserve">DNA Sequencing Services</w:t>
            </w:r>
          </w:p>
        </w:tc>
        <w:tc>
          <w:tcPr/>
          <w:p>
            <w:pPr>
              <w:pStyle w:val="Compact"/>
              <w:jc w:val="left"/>
            </w:pPr>
            <w:r>
              <w:t xml:space="preserve">$72,500</w:t>
            </w:r>
          </w:p>
        </w:tc>
        <w:tc>
          <w:tcPr/>
          <w:p>
            <w:pPr>
              <w:pStyle w:val="Compact"/>
              <w:jc w:val="left"/>
            </w:pPr>
            <w:r>
              <w:t xml:space="preserve">$158,750</w:t>
            </w:r>
          </w:p>
        </w:tc>
        <w:tc>
          <w:tcPr/>
          <w:p>
            <w:pPr>
              <w:pStyle w:val="Compact"/>
              <w:jc w:val="left"/>
            </w:pPr>
            <w:r>
              <w:t xml:space="preserve">119.6%</w:t>
            </w:r>
          </w:p>
        </w:tc>
      </w:tr>
      <w:tr>
        <w:tc>
          <w:tcPr/>
          <w:p>
            <w:pPr>
              <w:pStyle w:val="Compact"/>
              <w:jc w:val="left"/>
            </w:pPr>
            <w:r>
              <w:t xml:space="preserve">Agricultural Soil Analysis (Biologist-Driven)</w:t>
            </w:r>
          </w:p>
        </w:tc>
        <w:tc>
          <w:tcPr/>
          <w:p>
            <w:pPr>
              <w:pStyle w:val="Compact"/>
              <w:jc w:val="left"/>
            </w:pPr>
            <w:r>
              <w:t xml:space="preserve">$48,300</w:t>
            </w:r>
          </w:p>
        </w:tc>
        <w:tc>
          <w:tcPr/>
          <w:p>
            <w:pPr>
              <w:pStyle w:val="Compact"/>
              <w:jc w:val="left"/>
            </w:pPr>
            <w:r>
              <w:t xml:space="preserve">$92,600</w:t>
            </w:r>
          </w:p>
        </w:tc>
        <w:tc>
          <w:tcPr/>
          <w:p>
            <w:pPr>
              <w:pStyle w:val="Compact"/>
              <w:jc w:val="left"/>
            </w:pPr>
            <w:r>
              <w:t xml:space="preserve">91.7%</w:t>
            </w:r>
          </w:p>
        </w:tc>
      </w:tr>
      <w:tr>
        <w:tc>
          <w:tcPr/>
          <w:p>
            <w:pPr>
              <w:pStyle w:val="Compact"/>
              <w:jc w:val="left"/>
            </w:pPr>
            <w:r>
              <w:rPr>
                <w:bCs/>
                <w:b/>
              </w:rPr>
              <w:t xml:space="preserve">Total Sales to Biologists in Tashkent</w:t>
            </w:r>
          </w:p>
        </w:tc>
        <w:tc>
          <w:tcPr/>
          <w:p>
            <w:pPr>
              <w:pStyle w:val="Compact"/>
              <w:jc w:val="left"/>
            </w:pPr>
            <w:r>
              <w:rPr>
                <w:bCs/>
                <w:b/>
              </w:rPr>
              <w:t xml:space="preserve">$305,800</w:t>
            </w:r>
          </w:p>
        </w:tc>
        <w:tc>
          <w:tcPr/>
          <w:p>
            <w:pPr>
              <w:pStyle w:val="Compact"/>
              <w:jc w:val="left"/>
            </w:pPr>
            <w:r>
              <w:rPr>
                <w:bCs/>
                <w:b/>
              </w:rPr>
              <w:t xml:space="preserve">$593,350</w:t>
            </w:r>
          </w:p>
        </w:tc>
        <w:tc>
          <w:tcPr/>
          <w:p>
            <w:pPr>
              <w:pStyle w:val="Compact"/>
              <w:jc w:val="left"/>
            </w:pPr>
            <w:r>
              <w:t xml:space="preserve">94.1%</w:t>
            </w:r>
          </w:p>
        </w:tc>
      </w:tr>
    </w:tbl>
    <w:p>
      <w:pPr>
        <w:pStyle w:val="BodyText"/>
      </w:pPr>
      <w:r>
        <w:t xml:space="preserve">The dramatic growth in equipment sales to biologists reflects Tashkent's strategic investment in scientific infrastructure. The Academy of Sciences of Uzbekistan, located in the city center, has become our largest single client, purchasing 32 advanced DNA sequencers for their new Center for Biotechnology. This partnership exemplifies how biologists are driving market expansion – with every major laboratory equipment sale triggering additional service contracts requiring biologist expertise.</w:t>
      </w:r>
    </w:p>
    <w:bookmarkEnd w:id="22"/>
    <w:bookmarkStart w:id="23" w:name="Xbfd698f96973efa81678bc7ff6d536b50ccf3eb"/>
    <w:p>
      <w:pPr>
        <w:pStyle w:val="Heading2"/>
      </w:pPr>
      <w:r>
        <w:t xml:space="preserve">Key Sales Initiatives and Biological Partnerships</w:t>
      </w:r>
    </w:p>
    <w:p>
      <w:pPr>
        <w:pStyle w:val="FirstParagraph"/>
      </w:pPr>
      <w:r>
        <w:t xml:space="preserve">Our most successful initiative involved collaborating with Tashkent Medical University's Department of Molecular Biology. This partnership, led by lead biologist Dr. Aynur Karimova, implemented a comprehensive diagnostic service package that increased testing capacity by 300%. The project included customized equipment for biologists specializing in infectious disease detection – directly addressing Uzbekistan's public health priorities. Similarly, our collaboration with the Tashkent State Agrarian University has resulted in training 47 local biologists on new soil analysis protocols, significantly boosting agricultural output monitoring across Uzbekistan's key farming regions.</w:t>
      </w:r>
    </w:p>
    <w:bookmarkEnd w:id="23"/>
    <w:bookmarkStart w:id="24" w:name="Xf14f43aa070d8494dd390d319514749348b7c25"/>
    <w:p>
      <w:pPr>
        <w:pStyle w:val="Heading2"/>
      </w:pPr>
      <w:r>
        <w:t xml:space="preserve">Challenges and Solutions in Tashkent's Market</w:t>
      </w:r>
    </w:p>
    <w:p>
      <w:pPr>
        <w:pStyle w:val="FirstParagraph"/>
      </w:pPr>
      <w:r>
        <w:t xml:space="preserve">Despite strong growth, several challenges emerged. The primary obstacle was equipment maintenance – many Tashkent-based biologists lacked specialized technicians. Our solution was launching the "Biologist Support Network," providing 24/7 technical assistance via mobile app and on-site biologists for emergency repairs. Another challenge involved Uzbekistan's regulatory environment; we developed a dedicated compliance team to navigate Ministry of Health requirements, ensuring all biological equipment met local standards before sale.</w:t>
      </w:r>
    </w:p>
    <w:bookmarkEnd w:id="24"/>
    <w:bookmarkStart w:id="25" w:name="X7791d30d255ab09677fdeb66c43646729845890"/>
    <w:p>
      <w:pPr>
        <w:pStyle w:val="Heading2"/>
      </w:pPr>
      <w:r>
        <w:t xml:space="preserve">Future Outlook for Biologists in Uzbekistan</w:t>
      </w:r>
    </w:p>
    <w:p>
      <w:pPr>
        <w:pStyle w:val="FirstParagraph"/>
      </w:pPr>
      <w:r>
        <w:t xml:space="preserve">Looking ahead, the Tashkent biological market shows exceptional promise. The Uzbekistan government's new $150 million Biotechnology Development Program includes 6 new research centers in Tashkent, creating immediate demand for 89 new biologist positions by 2025. Our sales projections indicate a 76% increase in equipment sales to biologists within the capital city alone. Key growth areas include:</w:t>
      </w:r>
    </w:p>
    <w:p>
      <w:pPr>
        <w:numPr>
          <w:ilvl w:val="0"/>
          <w:numId w:val="1001"/>
        </w:numPr>
        <w:pStyle w:val="Compact"/>
      </w:pPr>
      <w:r>
        <w:t xml:space="preserve">Genetic sequencing for crop resilience (critical for Uzbekistan's cotton industry)</w:t>
      </w:r>
    </w:p>
    <w:p>
      <w:pPr>
        <w:numPr>
          <w:ilvl w:val="0"/>
          <w:numId w:val="1001"/>
        </w:numPr>
        <w:pStyle w:val="Compact"/>
      </w:pPr>
      <w:r>
        <w:t xml:space="preserve">Bioinformatics services supporting Tashkent's growing healthcare sector</w:t>
      </w:r>
    </w:p>
    <w:p>
      <w:pPr>
        <w:numPr>
          <w:ilvl w:val="0"/>
          <w:numId w:val="1001"/>
        </w:numPr>
        <w:pStyle w:val="Compact"/>
      </w:pPr>
      <w:r>
        <w:t xml:space="preserve">Environmental monitoring systems requiring biologist deployment across Central Asia</w:t>
      </w:r>
    </w:p>
    <w:bookmarkEnd w:id="25"/>
    <w:bookmarkStart w:id="26" w:name="Xb4ac145e1646fa2fb750c14aa212d1c45cf23f7"/>
    <w:p>
      <w:pPr>
        <w:pStyle w:val="Heading2"/>
      </w:pPr>
      <w:r>
        <w:t xml:space="preserve">Conclusion: The Biologist-Driven Growth Model in Tashkent</w:t>
      </w:r>
    </w:p>
    <w:p>
      <w:pPr>
        <w:pStyle w:val="FirstParagraph"/>
      </w:pPr>
      <w:r>
        <w:t xml:space="preserve">This Sales Report confirms that the integration of professional biologists into our sales strategy has been transformative for business performance in Uzbekistan. The consistent 76% annual growth in biological service sales within Tashkent demonstrates how strategically partnering with biologists drives market expansion. As Uzbekistan positions itself as a Central Asian leader in scientific innovation, Tashkent's biological sector will continue to be the engine of economic development – and our sales success hinges on empowering biologists through tailored solutions. We commend our Tashkent-based biologist partners for their exceptional work in advancing Uzbekistan's scientific capabilities, and we commit to doubling our investment in biologist-centric initiatives across the country by 2025.</w:t>
      </w:r>
    </w:p>
    <w:bookmarkEnd w:id="26"/>
    <w:bookmarkStart w:id="27" w:name="Xa04406f8568d3995e54801f04d17ef3feba3013"/>
    <w:p>
      <w:pPr>
        <w:pStyle w:val="Heading2"/>
      </w:pPr>
      <w:r>
        <w:t xml:space="preserve">Appendix: Key Biologist Partnerships in Tashkent</w:t>
      </w:r>
    </w:p>
    <w:p>
      <w:pPr>
        <w:pStyle w:val="FirstParagraph"/>
      </w:pPr>
      <w:r>
        <w:rPr>
          <w:bCs/>
          <w:b/>
        </w:rPr>
        <w:t xml:space="preserve">Academy of Sciences of Uzbekistan</w:t>
      </w:r>
      <w:r>
        <w:t xml:space="preserve">: 14 biologists on staff; $340,000 equipment purchases (Q4 2023)</w:t>
      </w:r>
    </w:p>
    <w:p>
      <w:pPr>
        <w:pStyle w:val="BodyText"/>
      </w:pPr>
      <w:r>
        <w:rPr>
          <w:bCs/>
          <w:b/>
        </w:rPr>
        <w:t xml:space="preserve">Tashkent Medical University</w:t>
      </w:r>
      <w:r>
        <w:t xml:space="preserve">: 9 biologists in molecular diagnostics department; $185,000 service contracts</w:t>
      </w:r>
    </w:p>
    <w:p>
      <w:pPr>
        <w:pStyle w:val="BodyText"/>
      </w:pPr>
      <w:r>
        <w:rPr>
          <w:bCs/>
          <w:b/>
        </w:rPr>
        <w:t xml:space="preserve">Tashkent State Agrarian University</w:t>
      </w:r>
      <w:r>
        <w:t xml:space="preserve">: 23 biologists conducting soil studies; $128,500 equipment sales</w:t>
      </w:r>
    </w:p>
    <w:p>
      <w:pPr>
        <w:pStyle w:val="BodyText"/>
      </w:pPr>
      <w:r>
        <w:rPr>
          <w:iCs/>
          <w:i/>
        </w:rPr>
        <w:t xml:space="preserve">This Sales Report was compiled for management review by the Central Asia Division. Prepared in compliance with Uzbekistan business regulations and Tashkent Chamber of Commerce standards. All data verified through client contracts and ministry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Services and Equipment Sales Performance in Tashkent, Uzbekistan</dc:title>
  <dc:creator/>
  <dc:language>en</dc:language>
  <cp:keywords/>
  <dcterms:created xsi:type="dcterms:W3CDTF">2026-07-23T16:54:19Z</dcterms:created>
  <dcterms:modified xsi:type="dcterms:W3CDTF">2026-07-23T16:54:19Z</dcterms:modified>
</cp:coreProperties>
</file>

<file path=docProps/custom.xml><?xml version="1.0" encoding="utf-8"?>
<Properties xmlns="http://schemas.openxmlformats.org/officeDocument/2006/custom-properties" xmlns:vt="http://schemas.openxmlformats.org/officeDocument/2006/docPropsVTypes"/>
</file>