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in</w:t>
      </w:r>
      <w:r>
        <w:t xml:space="preserve"> </w:t>
      </w:r>
      <w:r>
        <w:t xml:space="preserve">Melbourne,</w:t>
      </w:r>
      <w:r>
        <w:t xml:space="preserve"> </w:t>
      </w:r>
      <w:r>
        <w:t xml:space="preserve">Australia</w:t>
      </w:r>
    </w:p>
    <w:bookmarkStart w:id="27" w:name="X4f8e08d04cc7e03e625f2bd6b3996294fcfb1e2"/>
    <w:p>
      <w:pPr>
        <w:pStyle w:val="Heading1"/>
      </w:pPr>
      <w:r>
        <w:t xml:space="preserve">Biomedical Engineering Sales Performance Report: Melbourne, Australia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VitalSigns Australia Market Intelligence Division</w:t>
      </w:r>
    </w:p>
    <w:bookmarkStart w:id="20" w:name="i.-executive-summary"/>
    <w:p>
      <w:pPr>
        <w:pStyle w:val="Heading2"/>
      </w:pPr>
      <w:r>
        <w:t xml:space="preserve">I. Executive Summary</w:t>
      </w:r>
    </w:p>
    <w:p>
      <w:pPr>
        <w:pStyle w:val="FirstParagraph"/>
      </w:pPr>
      <w:r>
        <w:t xml:space="preserve">This Sales Report details the performance of biomedical engineering services and technology solutions within the Australian healthcare ecosystem, with a specific focus on Melbourne's market dynamics. As the largest hub for medical innovation in Australia, Melbourne continues to drive national demand for specialized Biomedical Engineering expertise. The third quarter of 2023 demonstrated a 17% year-over-year increase in sales revenue related to biomedical device maintenance, hospital equipment integration, and R&amp;D consulting services across our portfolio. This growth directly correlates with heightened government investment in healthcare infrastructure under the Australian Government's Medical Research Future Fund (MRFF) and Victoria's Health Infrastructure Plan. Crucially, Melbourne has emerged as the epicenter for Biomedical Engineer recruitment and deployment in Australia, accounting for 38% of all national job placements in this critical field.</w:t>
      </w:r>
    </w:p>
    <w:bookmarkEnd w:id="20"/>
    <w:bookmarkStart w:id="21" w:name="Xf9599893e60d8667270034ca265bbaa141583c0"/>
    <w:p>
      <w:pPr>
        <w:pStyle w:val="Heading2"/>
      </w:pPr>
      <w:r>
        <w:t xml:space="preserve">II. Market Context: Australia Melbourne Healthcare Landscape</w:t>
      </w:r>
    </w:p>
    <w:p>
      <w:pPr>
        <w:pStyle w:val="FirstParagraph"/>
      </w:pPr>
      <w:r>
        <w:t xml:space="preserve">Melbourne's position as Australia's biomedical innovation capital is undeniable. With the highest concentration of leading hospitals (including Royal Melbourne Hospital, Monash Medical Centre, and Peter MacCallum Cancer Centre), world-class research institutions (University of Melbourne, Monash University), and a thriving medtech startup ecosystem in the Parkville Precinct, demand for Biomedical Engineering solutions is exceptionally high. The Victorian Government's commitment to "HealthTech Victoria" has accelerated procurement cycles for advanced diagnostic imaging systems, patient monitoring technologies, and telehealth infrastructure – all requiring specialized Biomedical Engineer expertise. In Australia Melbourne specifically, regulatory compliance (Therapeutic Goods Administration - TGA) and hospital accreditation standards necessitate continuous support from qualified Biomedical Engineers, directly impacting our sales pipeline.</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 (AUD)</w:t>
            </w:r>
          </w:p>
        </w:tc>
        <w:tc>
          <w:tcPr/>
          <w:p>
            <w:pPr>
              <w:pStyle w:val="Compact"/>
              <w:jc w:val="left"/>
            </w:pPr>
            <w:r>
              <w:t xml:space="preserve">YoY Change</w:t>
            </w:r>
          </w:p>
        </w:tc>
        <w:tc>
          <w:tcPr/>
          <w:p>
            <w:pPr>
              <w:pStyle w:val="Compact"/>
              <w:jc w:val="left"/>
            </w:pPr>
            <w:r>
              <w:t xml:space="preserve">Key Melbourne Clients</w:t>
            </w:r>
          </w:p>
        </w:tc>
      </w:tr>
      <w:tr>
        <w:tc>
          <w:tcPr/>
          <w:p>
            <w:pPr>
              <w:pStyle w:val="Compact"/>
              <w:jc w:val="left"/>
            </w:pPr>
            <w:r>
              <w:t xml:space="preserve">Hospital Equipment Maintenance Contracts</w:t>
            </w:r>
          </w:p>
        </w:tc>
        <w:tc>
          <w:tcPr/>
          <w:p>
            <w:pPr>
              <w:pStyle w:val="Compact"/>
              <w:jc w:val="left"/>
            </w:pPr>
            <w:r>
              <w:t xml:space="preserve">$1,425,000</w:t>
            </w:r>
          </w:p>
        </w:tc>
        <w:tc>
          <w:tcPr/>
          <w:p>
            <w:pPr>
              <w:pStyle w:val="Compact"/>
              <w:jc w:val="left"/>
            </w:pPr>
            <w:r>
              <w:t xml:space="preserve">+22%</w:t>
            </w:r>
          </w:p>
        </w:tc>
        <w:tc>
          <w:tcPr/>
          <w:p>
            <w:pPr>
              <w:pStyle w:val="Compact"/>
              <w:jc w:val="left"/>
            </w:pPr>
            <w:r>
              <w:t xml:space="preserve">Royal Children's Hospital, Austin Health, Mercy Hospital</w:t>
            </w:r>
          </w:p>
        </w:tc>
      </w:tr>
      <w:tr>
        <w:tc>
          <w:tcPr/>
          <w:p>
            <w:pPr>
              <w:pStyle w:val="Compact"/>
              <w:jc w:val="left"/>
            </w:pPr>
            <w:r>
              <w:t xml:space="preserve">Biomedical Engineering Consulting (TGA Compliance)</w:t>
            </w:r>
          </w:p>
        </w:tc>
        <w:tc>
          <w:tcPr/>
          <w:p>
            <w:pPr>
              <w:pStyle w:val="Compact"/>
              <w:jc w:val="left"/>
            </w:pPr>
            <w:r>
              <w:t xml:space="preserve">$785,000</w:t>
            </w:r>
          </w:p>
        </w:tc>
        <w:tc>
          <w:tcPr/>
          <w:p>
            <w:pPr>
              <w:pStyle w:val="Compact"/>
              <w:jc w:val="left"/>
            </w:pPr>
            <w:r>
              <w:t xml:space="preserve">+14%</w:t>
            </w:r>
          </w:p>
        </w:tc>
        <w:tc>
          <w:tcPr/>
          <w:p>
            <w:pPr>
              <w:pStyle w:val="Compact"/>
              <w:jc w:val="left"/>
            </w:pPr>
            <w:r>
              <w:t xml:space="preserve">CSL Behring, ResMed Melbourne, St. Vincent's Health Australia</w:t>
            </w:r>
          </w:p>
        </w:tc>
      </w:tr>
      <w:tr>
        <w:tc>
          <w:tcPr/>
          <w:p>
            <w:pPr>
              <w:pStyle w:val="Compact"/>
              <w:jc w:val="left"/>
            </w:pPr>
            <w:r>
              <w:t xml:space="preserve">R&amp;D Support for Medical Device Startups</w:t>
            </w:r>
          </w:p>
        </w:tc>
        <w:tc>
          <w:tcPr/>
          <w:p>
            <w:pPr>
              <w:pStyle w:val="Compact"/>
              <w:jc w:val="left"/>
            </w:pPr>
            <w:r>
              <w:t xml:space="preserve">$412,000</w:t>
            </w:r>
          </w:p>
        </w:tc>
        <w:tc>
          <w:tcPr/>
          <w:p>
            <w:pPr>
              <w:pStyle w:val="Compact"/>
              <w:jc w:val="left"/>
            </w:pPr>
            <w:r>
              <w:t xml:space="preserve">+31%</w:t>
            </w:r>
          </w:p>
        </w:tc>
        <w:tc>
          <w:tcPr/>
          <w:p>
            <w:pPr>
              <w:pStyle w:val="Compact"/>
              <w:jc w:val="left"/>
            </w:pPr>
            <w:r>
              <w:t xml:space="preserve">Several Parkville Precinct startups (e.g., NanoHealth, Verve Biotech)</w:t>
            </w:r>
          </w:p>
        </w:tc>
      </w:tr>
      <w:tr>
        <w:tc>
          <w:tcPr/>
          <w:p>
            <w:pPr>
              <w:pStyle w:val="Compact"/>
              <w:jc w:val="left"/>
            </w:pPr>
            <w:r>
              <w:t xml:space="preserve">Total</w:t>
            </w:r>
          </w:p>
        </w:tc>
        <w:tc>
          <w:tcPr/>
          <w:p>
            <w:pPr>
              <w:pStyle w:val="Compact"/>
              <w:jc w:val="left"/>
            </w:pPr>
            <w:r>
              <w:rPr>
                <w:bCs/>
                <w:b/>
              </w:rPr>
              <w:t xml:space="preserve">$2,622,000</w:t>
            </w:r>
          </w:p>
        </w:tc>
        <w:tc>
          <w:tcPr/>
          <w:p>
            <w:pPr>
              <w:pStyle w:val="Compact"/>
              <w:jc w:val="left"/>
            </w:pPr>
            <w:r>
              <w:rPr>
                <w:bCs/>
                <w:b/>
              </w:rPr>
              <w:t xml:space="preserve">+17%</w:t>
            </w:r>
          </w:p>
        </w:tc>
        <w:tc>
          <w:tcPr/>
          <w:p>
            <w:pPr>
              <w:pStyle w:val="Compact"/>
              <w:jc w:val="left"/>
            </w:pPr>
            <w:r>
              <w:t xml:space="preserve"> </w:t>
            </w:r>
          </w:p>
        </w:tc>
      </w:tr>
    </w:tbl>
    <w:p>
      <w:pPr>
        <w:pStyle w:val="BodyText"/>
      </w:pPr>
      <w:r>
        <w:t xml:space="preserve">The standout growth in R&amp;D Support Services reflects Melbourne's burgeoning medtech startup scene. Our Biomedical Engineer consultants were instrumental in securing regulatory approvals for 8 new devices launched by Victorian companies, directly contributing to this segment's strong performance. The Hospital Maintenance Contracts surge was driven by Melbourne health networks' strategic investments to replace aging equipment ahead of the 2024-25 budget cycle, with a particular focus on MRI and ultrasound systems requiring specialized Biomedical Engineer calibration.</w:t>
      </w:r>
    </w:p>
    <w:bookmarkEnd w:id="22"/>
    <w:bookmarkStart w:id="23" w:name="X48547356b0e5aedc16be3f6d29358613e319545"/>
    <w:p>
      <w:pPr>
        <w:pStyle w:val="Heading2"/>
      </w:pPr>
      <w:r>
        <w:t xml:space="preserve">IV. Key Drivers of Sales Success in Australia Melbourne</w:t>
      </w:r>
    </w:p>
    <w:p>
      <w:pPr>
        <w:numPr>
          <w:ilvl w:val="0"/>
          <w:numId w:val="1001"/>
        </w:numPr>
        <w:pStyle w:val="Compact"/>
      </w:pPr>
      <w:r>
        <w:rPr>
          <w:bCs/>
          <w:b/>
        </w:rPr>
        <w:t xml:space="preserve">Talent Pipeline Advantage:</w:t>
      </w:r>
      <w:r>
        <w:t xml:space="preserve"> </w:t>
      </w:r>
      <w:r>
        <w:t xml:space="preserve">Melbourne universities consistently produce the highest volume of qualified Biomedical Engineers in Australia, providing us with a deep talent pool for client-facing roles and project execution. Our partnership with the University of Melbourne's Biomedical Engineering program directly supplied 15 new engineers to our sales teams this quarter.</w:t>
      </w:r>
    </w:p>
    <w:p>
      <w:pPr>
        <w:numPr>
          <w:ilvl w:val="0"/>
          <w:numId w:val="1001"/>
        </w:numPr>
        <w:pStyle w:val="Compact"/>
      </w:pPr>
      <w:r>
        <w:rPr>
          <w:bCs/>
          <w:b/>
        </w:rPr>
        <w:t xml:space="preserve">Regulatory Environment:</w:t>
      </w:r>
      <w:r>
        <w:t xml:space="preserve"> </w:t>
      </w:r>
      <w:r>
        <w:t xml:space="preserve">The TGA's updated medical device classification guidelines (effective Q2 2023) increased demand for specialized Biomedical Engineer expertise in compliance, directly driving consulting revenue growth across Melbourne healthcare providers.</w:t>
      </w:r>
    </w:p>
    <w:p>
      <w:pPr>
        <w:numPr>
          <w:ilvl w:val="0"/>
          <w:numId w:val="1001"/>
        </w:numPr>
        <w:pStyle w:val="Compact"/>
      </w:pPr>
      <w:r>
        <w:rPr>
          <w:bCs/>
          <w:b/>
        </w:rPr>
        <w:t xml:space="preserve">Infrastructure Investment:</w:t>
      </w:r>
      <w:r>
        <w:t xml:space="preserve"> </w:t>
      </w:r>
      <w:r>
        <w:t xml:space="preserve">Victoria's $1.8 billion Health Infrastructure Fund has accelerated equipment procurement timelines, creating urgent need for rapid installation and maintenance services that our Biomedical Engineers deliver.</w:t>
      </w:r>
    </w:p>
    <w:p>
      <w:pPr>
        <w:numPr>
          <w:ilvl w:val="0"/>
          <w:numId w:val="1001"/>
        </w:numPr>
        <w:pStyle w:val="Compact"/>
      </w:pPr>
      <w:r>
        <w:rPr>
          <w:bCs/>
          <w:b/>
        </w:rPr>
        <w:t xml:space="preserve">Industry Collaboration:</w:t>
      </w:r>
      <w:r>
        <w:t xml:space="preserve"> </w:t>
      </w:r>
      <w:r>
        <w:t xml:space="preserve">Strong partnerships with the Australian Medical Device Industry Association (AMDIA) and Melbourne-based healthcare networks like NPS MedicineWise facilitated targeted sales opportunities in key segments.</w:t>
      </w:r>
    </w:p>
    <w:bookmarkEnd w:id="23"/>
    <w:bookmarkStart w:id="24" w:name="v.-challenges-strategic-focus-areas"/>
    <w:p>
      <w:pPr>
        <w:pStyle w:val="Heading2"/>
      </w:pPr>
      <w:r>
        <w:t xml:space="preserve">V. Challenges &amp; Strategic Focus Areas</w:t>
      </w:r>
    </w:p>
    <w:p>
      <w:pPr>
        <w:pStyle w:val="FirstParagraph"/>
      </w:pPr>
      <w:r>
        <w:t xml:space="preserve">Despite strong growth, several challenges require attention to sustain momentum in the Australia Melbourne market:</w:t>
      </w:r>
    </w:p>
    <w:p>
      <w:pPr>
        <w:numPr>
          <w:ilvl w:val="0"/>
          <w:numId w:val="1002"/>
        </w:numPr>
        <w:pStyle w:val="Compact"/>
      </w:pPr>
      <w:r>
        <w:rPr>
          <w:bCs/>
          <w:b/>
        </w:rPr>
        <w:t xml:space="preserve">Workforce Competition:</w:t>
      </w:r>
      <w:r>
        <w:t xml:space="preserve"> </w:t>
      </w:r>
      <w:r>
        <w:t xml:space="preserve">Intense competition for experienced Biomedical Engineers from major health networks and global medtech firms is increasing our recruitment costs by 9% YoY. We are addressing this through enhanced professional development programs tailored to Melbourne's specific healthcare needs.</w:t>
      </w:r>
    </w:p>
    <w:p>
      <w:pPr>
        <w:numPr>
          <w:ilvl w:val="0"/>
          <w:numId w:val="1002"/>
        </w:numPr>
        <w:pStyle w:val="Compact"/>
      </w:pPr>
      <w:r>
        <w:rPr>
          <w:bCs/>
          <w:b/>
        </w:rPr>
        <w:t xml:space="preserve">Supply Chain Delays:</w:t>
      </w:r>
      <w:r>
        <w:t xml:space="preserve"> </w:t>
      </w:r>
      <w:r>
        <w:t xml:space="preserve">Global component shortages continue to impact equipment delivery timelines for new installations, causing project slippage. We are mitigating this through strategic local inventory partnerships with suppliers like Siemens Healthineers Australia.</w:t>
      </w:r>
    </w:p>
    <w:p>
      <w:pPr>
        <w:numPr>
          <w:ilvl w:val="0"/>
          <w:numId w:val="1002"/>
        </w:numPr>
        <w:pStyle w:val="Compact"/>
      </w:pPr>
      <w:r>
        <w:rPr>
          <w:bCs/>
          <w:b/>
        </w:rPr>
        <w:t xml:space="preserve">Regulatory Complexity:</w:t>
      </w:r>
      <w:r>
        <w:t xml:space="preserve"> </w:t>
      </w:r>
      <w:r>
        <w:t xml:space="preserve">Evolving TGA requirements for AI-integrated medical devices demand continuous upskilling of our Melbourne Biomedical Engineer teams. Quarterly compliance workshops were implemented to address this gap.</w:t>
      </w:r>
    </w:p>
    <w:bookmarkEnd w:id="24"/>
    <w:bookmarkStart w:id="25" w:name="vi.-future-outlook-recommendations"/>
    <w:p>
      <w:pPr>
        <w:pStyle w:val="Heading2"/>
      </w:pPr>
      <w:r>
        <w:t xml:space="preserve">VI. Future Outlook &amp; Recommendations</w:t>
      </w:r>
    </w:p>
    <w:p>
      <w:pPr>
        <w:pStyle w:val="FirstParagraph"/>
      </w:pPr>
      <w:r>
        <w:t xml:space="preserve">The Q4 2023 sales forecast for the Melbourne market is robust, projecting a further 15% increase driven by:</w:t>
      </w:r>
    </w:p>
    <w:p>
      <w:pPr>
        <w:numPr>
          <w:ilvl w:val="0"/>
          <w:numId w:val="1003"/>
        </w:numPr>
        <w:pStyle w:val="Compact"/>
      </w:pPr>
      <w:r>
        <w:t xml:space="preserve">Implementation of Victoria's new Telehealth Infrastructure Strategy (announced August 2023)</w:t>
      </w:r>
    </w:p>
    <w:p>
      <w:pPr>
        <w:numPr>
          <w:ilvl w:val="0"/>
          <w:numId w:val="1003"/>
        </w:numPr>
        <w:pStyle w:val="Compact"/>
      </w:pPr>
      <w:r>
        <w:t xml:space="preserve">Increased R&amp;D funding for medical device startups via the Victorian Government's Innovation Voucher Program</w:t>
      </w:r>
    </w:p>
    <w:p>
      <w:pPr>
        <w:numPr>
          <w:ilvl w:val="0"/>
          <w:numId w:val="1003"/>
        </w:numPr>
        <w:pStyle w:val="Compact"/>
      </w:pPr>
      <w:r>
        <w:t xml:space="preserve">Ongoing hospital expansion projects at Melbourne Health campuses</w:t>
      </w:r>
    </w:p>
    <w:p>
      <w:pPr>
        <w:pStyle w:val="FirstParagraph"/>
      </w:pPr>
      <w:r>
        <w:rPr>
          <w:bCs/>
          <w:b/>
        </w:rPr>
        <w:t xml:space="preserve">Strategic Recommendations:</w:t>
      </w:r>
    </w:p>
    <w:p>
      <w:pPr>
        <w:numPr>
          <w:ilvl w:val="0"/>
          <w:numId w:val="1004"/>
        </w:numPr>
        <w:pStyle w:val="Compact"/>
      </w:pPr>
      <w:r>
        <w:t xml:space="preserve">Establish a dedicated "Melbourne Biomedical Engineer Sales Unit" with local market expertise to accelerate client acquisition in this high-potential region.</w:t>
      </w:r>
    </w:p>
    <w:p>
      <w:pPr>
        <w:numPr>
          <w:ilvl w:val="0"/>
          <w:numId w:val="1004"/>
        </w:numPr>
        <w:pStyle w:val="Compact"/>
      </w:pPr>
      <w:r>
        <w:t xml:space="preserve">Develop specialized training modules on TGA compliance for emerging technologies (AI, robotics) to position our Melbourne Biomedical Engineers as indispensable advisors.</w:t>
      </w:r>
    </w:p>
    <w:p>
      <w:pPr>
        <w:numPr>
          <w:ilvl w:val="0"/>
          <w:numId w:val="1004"/>
        </w:numPr>
        <w:pStyle w:val="Compact"/>
      </w:pPr>
      <w:r>
        <w:t xml:space="preserve">Forge stronger partnerships with key Victorian healthcare procurement bodies like Health Infrastructure Victoria (HIV) to align sales strategy with major infrastructure projects.</w:t>
      </w:r>
    </w:p>
    <w:bookmarkEnd w:id="25"/>
    <w:bookmarkStart w:id="26" w:name="vii.-conclusion"/>
    <w:p>
      <w:pPr>
        <w:pStyle w:val="Heading2"/>
      </w:pPr>
      <w:r>
        <w:t xml:space="preserve">VII. Conclusion</w:t>
      </w:r>
    </w:p>
    <w:p>
      <w:pPr>
        <w:pStyle w:val="FirstParagraph"/>
      </w:pPr>
      <w:r>
        <w:t xml:space="preserve">This Sales Report confirms that Melbourne, Australia remains the most dynamic and profitable market for Biomedical Engineering services in our national portfolio. The critical role of the Biomedical Engineer in enabling healthcare innovation, regulatory compliance, and infrastructure modernization is increasingly recognized by clients across Melbourne's healthcare ecosystem. As the Victorian Government continues to prioritize medical technology investment under its "HealthTech 2030" vision, we are well-positioned to leverage our local expertise. Sustained focus on talent development within the Australia Melbourne context, coupled with proactive alignment of sales offerings with Victoria's strategic health infrastructure goals, will be paramount for achieving our 2024 revenue targets. The data unequivocally demonstrates that investment in Biomedical Engineer capability directly correlates with market leadership in this sector across Australia.</w:t>
      </w:r>
    </w:p>
    <w:p>
      <w:pPr>
        <w:pStyle w:val="BodyText"/>
      </w:pPr>
      <w:r>
        <w:rPr>
          <w:iCs/>
          <w:i/>
        </w:rPr>
        <w:t xml:space="preserve">VitalSigns Australia: Advancing Healthcare Through Engineering Excellence Since 1998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in Melbourne, Australia</dc:title>
  <dc:creator/>
  <dc:language>en</dc:language>
  <cp:keywords/>
  <dcterms:created xsi:type="dcterms:W3CDTF">2026-05-30T06:01:47Z</dcterms:created>
  <dcterms:modified xsi:type="dcterms:W3CDTF">2026-05-30T06:01:47Z</dcterms:modified>
</cp:coreProperties>
</file>

<file path=docProps/custom.xml><?xml version="1.0" encoding="utf-8"?>
<Properties xmlns="http://schemas.openxmlformats.org/officeDocument/2006/custom-properties" xmlns:vt="http://schemas.openxmlformats.org/officeDocument/2006/docPropsVTypes"/>
</file>