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Analysis</w:t>
      </w:r>
    </w:p>
    <w:bookmarkStart w:id="25" w:name="Xccf2e9616943076ec9676259fa22bff9036d1d4"/>
    <w:p>
      <w:pPr>
        <w:pStyle w:val="Heading1"/>
      </w:pPr>
      <w:r>
        <w:t xml:space="preserve">Biomedical Engineer Sales Report: Strategic Market Overview for Belgium Brussels (Q3 2023)</w:t>
      </w:r>
    </w:p>
    <w:p>
      <w:pPr>
        <w:pStyle w:val="FirstParagraph"/>
      </w:pPr>
      <w:r>
        <w:rPr>
          <w:bCs/>
          <w:b/>
        </w:rPr>
        <w:t xml:space="preserve">Prepared For:</w:t>
      </w:r>
      <w:r>
        <w:t xml:space="preserve"> </w:t>
      </w:r>
      <w:r>
        <w:t xml:space="preserve">Executive Leadership, MediTech Solutions Belgium</w:t>
      </w:r>
      <w:r>
        <w:br/>
      </w:r>
      <w:r>
        <w:rPr>
          <w:bCs/>
          <w:b/>
        </w:rPr>
        <w:t xml:space="preserve">Date:</w:t>
      </w:r>
      <w:r>
        <w:t xml:space="preserve"> </w:t>
      </w:r>
      <w:r>
        <w:t xml:space="preserve">October 26, 2023</w:t>
      </w:r>
      <w:r>
        <w:br/>
      </w:r>
      <w:r>
        <w:rPr>
          <w:bCs/>
          <w:b/>
        </w:rPr>
        <w:t xml:space="preserve">Prepared By:</w:t>
      </w:r>
      <w:r>
        <w:t xml:space="preserve"> </w:t>
      </w:r>
      <w:r>
        <w:t xml:space="preserve">Sales Intelligence &amp; Market Strategy Department</w:t>
      </w:r>
    </w:p>
    <w:bookmarkStart w:id="20" w:name="i.-executive-summary"/>
    <w:p>
      <w:pPr>
        <w:pStyle w:val="Heading2"/>
      </w:pPr>
      <w:r>
        <w:t xml:space="preserve">I. Executive Summary</w:t>
      </w:r>
    </w:p>
    <w:p>
      <w:pPr>
        <w:pStyle w:val="FirstParagraph"/>
      </w:pPr>
      <w:r>
        <w:t xml:space="preserve">This comprehensive Sales Report details the current market dynamics, demand trends, and strategic opportunities for</w:t>
      </w:r>
      <w:r>
        <w:t xml:space="preserve"> </w:t>
      </w:r>
      <w:r>
        <w:rPr>
          <w:iCs/>
          <w:i/>
        </w:rPr>
        <w:t xml:space="preserve">Biomedical Engineer</w:t>
      </w:r>
      <w:r>
        <w:t xml:space="preserve"> </w:t>
      </w:r>
      <w:r>
        <w:t xml:space="preserve">talent acquisition within the healthcare technology sector of</w:t>
      </w:r>
      <w:r>
        <w:t xml:space="preserve"> </w:t>
      </w:r>
      <w:r>
        <w:rPr>
          <w:bCs/>
          <w:b/>
        </w:rPr>
        <w:t xml:space="preserve">Belgium Brussels</w:t>
      </w:r>
      <w:r>
        <w:t xml:space="preserve">. As the European Union's de facto administrative capital and a global hub for medical innovation, Brussels presents a uniquely advantageous landscape for leveraging</w:t>
      </w:r>
      <w:r>
        <w:t xml:space="preserve"> </w:t>
      </w:r>
      <w:r>
        <w:rPr>
          <w:iCs/>
          <w:i/>
        </w:rPr>
        <w:t xml:space="preserve">Biomedical Engineer</w:t>
      </w:r>
      <w:r>
        <w:t xml:space="preserve"> </w:t>
      </w:r>
      <w:r>
        <w:t xml:space="preserve">expertise. Our analysis confirms a 27% year-over-year increase in sales pipeline value directly attributable to strategic placements of certified</w:t>
      </w:r>
      <w:r>
        <w:t xml:space="preserve"> </w:t>
      </w:r>
      <w:r>
        <w:rPr>
          <w:iCs/>
          <w:i/>
        </w:rPr>
        <w:t xml:space="preserve">Biomedical Engineer</w:t>
      </w:r>
      <w:r>
        <w:t xml:space="preserve">s across key clients in the Brussels region. This report underscores the critical role of specialized engineering talent in driving revenue growth for healthcare technology firms operating within Belgium's highly regulated medical device market.</w:t>
      </w:r>
    </w:p>
    <w:bookmarkEnd w:id="20"/>
    <w:bookmarkStart w:id="21" w:name="Xce44a5562514d7e853c89cbca506435d463e7fe"/>
    <w:p>
      <w:pPr>
        <w:pStyle w:val="Heading2"/>
      </w:pPr>
      <w:r>
        <w:t xml:space="preserve">II. Market Context: Biomedical Engineering Demand in Belgium Brussels</w:t>
      </w:r>
    </w:p>
    <w:p>
      <w:pPr>
        <w:pStyle w:val="FirstParagraph"/>
      </w:pPr>
      <w:r>
        <w:t xml:space="preserve">The</w:t>
      </w:r>
      <w:r>
        <w:t xml:space="preserve"> </w:t>
      </w:r>
      <w:r>
        <w:rPr>
          <w:bCs/>
          <w:b/>
        </w:rPr>
        <w:t xml:space="preserve">Belgium Brussels</w:t>
      </w:r>
      <w:r>
        <w:t xml:space="preserve"> </w:t>
      </w:r>
      <w:r>
        <w:t xml:space="preserve">ecosystem is experiencing unprecedented demand for certified</w:t>
      </w:r>
      <w:r>
        <w:t xml:space="preserve"> </w:t>
      </w:r>
      <w:r>
        <w:rPr>
          <w:iCs/>
          <w:i/>
        </w:rPr>
        <w:t xml:space="preserve">Biomedical Engineer</w:t>
      </w:r>
      <w:r>
        <w:t xml:space="preserve">s, driven by three converging factors:</w:t>
      </w:r>
    </w:p>
    <w:p>
      <w:pPr>
        <w:numPr>
          <w:ilvl w:val="0"/>
          <w:numId w:val="1001"/>
        </w:numPr>
        <w:pStyle w:val="Compact"/>
      </w:pPr>
      <w:r>
        <w:rPr>
          <w:bCs/>
          <w:b/>
        </w:rPr>
        <w:t xml:space="preserve">EU Regulatory Expansion:</w:t>
      </w:r>
      <w:r>
        <w:t xml:space="preserve"> </w:t>
      </w:r>
      <w:r>
        <w:t xml:space="preserve">The implementation of the Medical Devices Regulation (MDR 2017/745) and In Vitro Diagnostic Regulation (IVDR) has intensified requirements for specialized engineering expertise in Brussels-based regulatory affairs departments. Our sales data shows a 38% surge in client requests for Biomedical Engineers with CE marking certification.</w:t>
      </w:r>
    </w:p>
    <w:p>
      <w:pPr>
        <w:numPr>
          <w:ilvl w:val="0"/>
          <w:numId w:val="1001"/>
        </w:numPr>
        <w:pStyle w:val="Compact"/>
      </w:pPr>
      <w:r>
        <w:rPr>
          <w:bCs/>
          <w:b/>
        </w:rPr>
        <w:t xml:space="preserve">Healthcare Digital Transformation:</w:t>
      </w:r>
      <w:r>
        <w:t xml:space="preserve"> </w:t>
      </w:r>
      <w:r>
        <w:t xml:space="preserve">Major institutions like Erasme Hospital, UZ Brussel, and the European Medicines Agency (EMA) are aggressively modernizing medical imaging and diagnostic equipment. This drives direct sales opportunities for firms offering Biomedical Engineer deployment services, representing €12.8M in potential pipeline within Q3 2023.</w:t>
      </w:r>
    </w:p>
    <w:p>
      <w:pPr>
        <w:numPr>
          <w:ilvl w:val="0"/>
          <w:numId w:val="1001"/>
        </w:numPr>
        <w:pStyle w:val="Compact"/>
      </w:pPr>
      <w:r>
        <w:rPr>
          <w:bCs/>
          <w:b/>
        </w:rPr>
        <w:t xml:space="preserve">Strategic Location Advantage:</w:t>
      </w:r>
      <w:r>
        <w:t xml:space="preserve"> </w:t>
      </w:r>
      <w:r>
        <w:t xml:space="preserve">Brussels' proximity to EU institutions (European Commission, EMA) and access to the Benelux talent pool creates a unique sales environment where Biomedical Engineers serve as critical liaisons between innovation and regulatory compliance – a value proposition central to our sales narrative in</w:t>
      </w:r>
      <w:r>
        <w:t xml:space="preserve"> </w:t>
      </w:r>
      <w:r>
        <w:rPr>
          <w:bCs/>
          <w:b/>
        </w:rPr>
        <w:t xml:space="preserve">Belgium Brussels</w:t>
      </w:r>
      <w:r>
        <w:t xml:space="preserve">.</w:t>
      </w:r>
    </w:p>
    <w:bookmarkEnd w:id="21"/>
    <w:bookmarkStart w:id="22" w:name="X2a315abaa4fbad0a94595f33ae6df052c1e00b2"/>
    <w:p>
      <w:pPr>
        <w:pStyle w:val="Heading2"/>
      </w:pPr>
      <w:r>
        <w:t xml:space="preserve">III. Sales Performance Highlights: Biomedical Engineer Talent Acquisition</w:t>
      </w:r>
    </w:p>
    <w:p>
      <w:pPr>
        <w:pStyle w:val="FirstParagraph"/>
      </w:pPr>
      <w:r>
        <w:t xml:space="preserve">This quarter's sales performance demonstrates exceptional alignment with market needs: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Belgium Brussels Focus</w:t>
            </w:r>
          </w:p>
        </w:tc>
      </w:tr>
      <w:tr>
        <w:tc>
          <w:tcPr/>
          <w:p>
            <w:pPr>
              <w:pStyle w:val="Compact"/>
              <w:jc w:val="left"/>
            </w:pPr>
            <w:r>
              <w:t xml:space="preserve">Talent Placement Rate (Biomedical Engineers)</w:t>
            </w:r>
          </w:p>
        </w:tc>
        <w:tc>
          <w:tcPr/>
          <w:p>
            <w:pPr>
              <w:pStyle w:val="Compact"/>
              <w:jc w:val="left"/>
            </w:pPr>
            <w:r>
              <w:t xml:space="preserve">89%</w:t>
            </w:r>
          </w:p>
        </w:tc>
        <w:tc>
          <w:tcPr/>
          <w:p>
            <w:pPr>
              <w:pStyle w:val="Compact"/>
              <w:jc w:val="left"/>
            </w:pPr>
            <w:r>
              <w:t xml:space="preserve">+22%</w:t>
            </w:r>
          </w:p>
        </w:tc>
        <w:tc>
          <w:tcPr/>
          <w:p>
            <w:pPr>
              <w:pStyle w:val="Compact"/>
              <w:jc w:val="left"/>
            </w:pPr>
            <w:r>
              <w:t xml:space="preserve">100% of placements served Brussels-based clients</w:t>
            </w:r>
          </w:p>
        </w:tc>
      </w:tr>
      <w:tr>
        <w:tc>
          <w:tcPr/>
          <w:p>
            <w:pPr>
              <w:pStyle w:val="Compact"/>
              <w:jc w:val="left"/>
            </w:pPr>
            <w:r>
              <w:t xml:space="preserve">Average Contract Value (per Biomedical Engineer)</w:t>
            </w:r>
          </w:p>
        </w:tc>
        <w:tc>
          <w:tcPr/>
          <w:p>
            <w:pPr>
              <w:pStyle w:val="Compact"/>
              <w:jc w:val="left"/>
            </w:pPr>
            <w:r>
              <w:t xml:space="preserve">€85,400</w:t>
            </w:r>
          </w:p>
        </w:tc>
        <w:tc>
          <w:tcPr/>
          <w:p>
            <w:pPr>
              <w:pStyle w:val="Compact"/>
              <w:jc w:val="left"/>
            </w:pPr>
            <w:r>
              <w:t xml:space="preserve">+15%</w:t>
            </w:r>
          </w:p>
        </w:tc>
        <w:tc>
          <w:tcPr/>
          <w:p>
            <w:pPr>
              <w:pStyle w:val="Compact"/>
              <w:jc w:val="left"/>
            </w:pPr>
            <w:r>
              <w:t xml:space="preserve">27% above national average due to Brussels regulatory premium</w:t>
            </w:r>
          </w:p>
        </w:tc>
      </w:tr>
      <w:tr>
        <w:tc>
          <w:tcPr/>
          <w:p>
            <w:pPr>
              <w:pStyle w:val="Compact"/>
              <w:jc w:val="left"/>
            </w:pPr>
            <w:r>
              <w:t xml:space="preserve">New Client Acquisition (Health Tech)</w:t>
            </w:r>
          </w:p>
        </w:tc>
        <w:tc>
          <w:tcPr/>
          <w:p>
            <w:pPr>
              <w:pStyle w:val="Compact"/>
              <w:jc w:val="left"/>
            </w:pPr>
            <w:r>
              <w:t xml:space="preserve">14</w:t>
            </w:r>
          </w:p>
        </w:tc>
        <w:tc>
          <w:tcPr/>
          <w:p>
            <w:pPr>
              <w:pStyle w:val="Compact"/>
              <w:jc w:val="left"/>
            </w:pPr>
            <w:r>
              <w:t xml:space="preserve">+31%</w:t>
            </w:r>
          </w:p>
        </w:tc>
        <w:tc>
          <w:tcPr/>
          <w:p>
            <w:pPr>
              <w:pStyle w:val="Compact"/>
              <w:jc w:val="left"/>
            </w:pPr>
            <w:r>
              <w:t xml:space="preserve">85% from Brussels Metro Area firms</w:t>
            </w:r>
          </w:p>
        </w:tc>
      </w:tr>
    </w:tbl>
    <w:p>
      <w:pPr>
        <w:pStyle w:val="BodyText"/>
      </w:pPr>
      <w:r>
        <w:rPr>
          <w:bCs/>
          <w:b/>
        </w:rPr>
        <w:t xml:space="preserve">Critical Insight:</w:t>
      </w:r>
      <w:r>
        <w:t xml:space="preserve"> </w:t>
      </w:r>
      <w:r>
        <w:t xml:space="preserve">Our sales team's success in closing deals with leading MedTech firms (e.g., Philips Healthcare Belgium, Bruker BioSpin) hinges on our ability to articulate the specific value of a</w:t>
      </w:r>
      <w:r>
        <w:t xml:space="preserve"> </w:t>
      </w:r>
      <w:r>
        <w:rPr>
          <w:iCs/>
          <w:i/>
        </w:rPr>
        <w:t xml:space="preserve">Biomedical Engineer</w:t>
      </w:r>
      <w:r>
        <w:t xml:space="preserve"> </w:t>
      </w:r>
      <w:r>
        <w:t xml:space="preserve">within the Brussels regulatory context. Clients consistently cite "understanding EU MDR/IVDR requirements" as the top differentiator when choosing our services over regional competitors.</w:t>
      </w:r>
    </w:p>
    <w:bookmarkEnd w:id="22"/>
    <w:bookmarkStart w:id="23" w:name="X27faaf7ab867a02858aaa610ae3933de89c1dce"/>
    <w:p>
      <w:pPr>
        <w:pStyle w:val="Heading2"/>
      </w:pPr>
      <w:r>
        <w:t xml:space="preserve">IV. Strategic Recommendations for Biomedical Engineer Sales Growth in Belgium Brussels</w:t>
      </w:r>
    </w:p>
    <w:p>
      <w:pPr>
        <w:pStyle w:val="FirstParagraph"/>
      </w:pPr>
      <w:r>
        <w:t xml:space="preserve">To capitalize on this momentum, we propose three actionable initiatives directly addressing the unique opportunities of the</w:t>
      </w:r>
      <w:r>
        <w:t xml:space="preserve"> </w:t>
      </w:r>
      <w:r>
        <w:rPr>
          <w:bCs/>
          <w:b/>
        </w:rPr>
        <w:t xml:space="preserve">Belgium Brussels</w:t>
      </w:r>
      <w:r>
        <w:t xml:space="preserve"> </w:t>
      </w:r>
      <w:r>
        <w:t xml:space="preserve">market:</w:t>
      </w:r>
    </w:p>
    <w:p>
      <w:pPr>
        <w:numPr>
          <w:ilvl w:val="0"/>
          <w:numId w:val="1002"/>
        </w:numPr>
        <w:pStyle w:val="Compact"/>
      </w:pPr>
      <w:r>
        <w:rPr>
          <w:bCs/>
          <w:b/>
        </w:rPr>
        <w:t xml:space="preserve">Develop Brussels-Specific Regulatory Competency Modules:</w:t>
      </w:r>
      <w:r>
        <w:t xml:space="preserve"> </w:t>
      </w:r>
      <w:r>
        <w:t xml:space="preserve">Create specialized sales training on EU MDR/IVDR implementation challenges. This enables our sales team to speak authoritatively about how a Biomedical Engineer reduces time-to-market for medical devices – a key pain point in the Brussels regulatory environment. Pilot program targeting 100% of new hires by Q1 2024.</w:t>
      </w:r>
    </w:p>
    <w:p>
      <w:pPr>
        <w:numPr>
          <w:ilvl w:val="0"/>
          <w:numId w:val="1002"/>
        </w:numPr>
        <w:pStyle w:val="Compact"/>
      </w:pPr>
      <w:r>
        <w:rPr>
          <w:bCs/>
          <w:b/>
        </w:rPr>
        <w:t xml:space="preserve">Forge Strategic Partnerships with VDAB &amp; Flanders Investment &amp; Trade:</w:t>
      </w:r>
      <w:r>
        <w:t xml:space="preserve"> </w:t>
      </w:r>
      <w:r>
        <w:t xml:space="preserve">Collaborate with Belgian regional agencies to co-host "Biomedical Engineering for EU Compliance" workshops in Brussels. This positions MediTech as the market authority and generates high-quality leads from firms seeking engineering talent specifically for Brussels-based operations.</w:t>
      </w:r>
    </w:p>
    <w:p>
      <w:pPr>
        <w:numPr>
          <w:ilvl w:val="0"/>
          <w:numId w:val="1002"/>
        </w:numPr>
        <w:pStyle w:val="Compact"/>
      </w:pPr>
      <w:r>
        <w:rPr>
          <w:bCs/>
          <w:b/>
        </w:rPr>
        <w:t xml:space="preserve">Launch a Biomedical Engineer Talent Hub in Brussels:</w:t>
      </w:r>
      <w:r>
        <w:t xml:space="preserve"> </w:t>
      </w:r>
      <w:r>
        <w:t xml:space="preserve">Establish a physical presence within the European Medical Device Network (EMDN) ecosystem. This allows us to directly showcase our Biomedical Engineer candidates to EMA-adjacent clients, transforming the Sales Report findings into tangible local engagement – crucial for building trust in Belgium's tight-knit business community.</w:t>
      </w:r>
    </w:p>
    <w:bookmarkEnd w:id="23"/>
    <w:bookmarkStart w:id="24" w:name="X0689cd425ebce62d593f76a735a6de21434aa13"/>
    <w:p>
      <w:pPr>
        <w:pStyle w:val="Heading2"/>
      </w:pPr>
      <w:r>
        <w:t xml:space="preserve">V. Conclusion: The Imperative of Biomedical Engineers in Belgium Brussels</w:t>
      </w:r>
    </w:p>
    <w:p>
      <w:pPr>
        <w:pStyle w:val="FirstParagraph"/>
      </w:pPr>
      <w:r>
        <w:t xml:space="preserve">The data is unequivocal:</w:t>
      </w:r>
      <w:r>
        <w:t xml:space="preserve"> </w:t>
      </w:r>
      <w:r>
        <w:rPr>
          <w:iCs/>
          <w:i/>
        </w:rPr>
        <w:t xml:space="preserve">Biomedical Engineer</w:t>
      </w:r>
      <w:r>
        <w:t xml:space="preserve"> </w:t>
      </w:r>
      <w:r>
        <w:t xml:space="preserve">talent is no longer just a technical resource but the cornerstone of sales success for technology firms operating within the dynamic and demanding healthcare landscape of</w:t>
      </w:r>
      <w:r>
        <w:t xml:space="preserve"> </w:t>
      </w:r>
      <w:r>
        <w:rPr>
          <w:bCs/>
          <w:b/>
        </w:rPr>
        <w:t xml:space="preserve">Belgium Brussels</w:t>
      </w:r>
      <w:r>
        <w:t xml:space="preserve">. Our Q3 performance validates that organizations prioritizing this specialized engineering expertise achieve significantly higher win rates (68% vs. 42% industry average) on complex EU regulatory contracts. As the European Commission continues to advance digital health initiatives from its Brussels headquarters, the demand for Biomedical Engineers with dual expertise in clinical technology and EU compliance will only intensify.</w:t>
      </w:r>
    </w:p>
    <w:p>
      <w:pPr>
        <w:pStyle w:val="BodyText"/>
      </w:pPr>
      <w:r>
        <w:t xml:space="preserve">This Sales Report confirms that our strategic focus on recruiting and selling</w:t>
      </w:r>
      <w:r>
        <w:t xml:space="preserve"> </w:t>
      </w:r>
      <w:r>
        <w:rPr>
          <w:iCs/>
          <w:i/>
        </w:rPr>
        <w:t xml:space="preserve">Biomedical Engineer</w:t>
      </w:r>
      <w:r>
        <w:t xml:space="preserve"> </w:t>
      </w:r>
      <w:r>
        <w:t xml:space="preserve">solutions within Belgium Brussels is not merely timely—it is the primary driver of revenue growth in one of Europe's most strategically vital healthcare markets. We recommend allocating 35% of our Q4 sales development budget specifically to expanding Biomedical Engineer placements across the Brussels metropolitan area, with a target increase of 40% in contract value generated from this specialty.</w:t>
      </w:r>
    </w:p>
    <w:p>
      <w:pPr>
        <w:pStyle w:val="BodyText"/>
      </w:pPr>
      <w:r>
        <w:rPr>
          <w:iCs/>
          <w:i/>
        </w:rPr>
        <w:t xml:space="preserve">Key Takeaway for Sales Leadership: In Belgium Brussels, the Biomedical Engineer isn't just a candidate—they are your most valuable sales asset. Every successful placement directly accelerates revenue within our most profitable segment of the healthcare technology market.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Belgium Brussels Market Analysis</dc:title>
  <dc:creator/>
  <dc:language>en</dc:language>
  <cp:keywords/>
  <dcterms:created xsi:type="dcterms:W3CDTF">2026-07-20T22:38:26Z</dcterms:created>
  <dcterms:modified xsi:type="dcterms:W3CDTF">2026-07-20T22:38:26Z</dcterms:modified>
</cp:coreProperties>
</file>

<file path=docProps/custom.xml><?xml version="1.0" encoding="utf-8"?>
<Properties xmlns="http://schemas.openxmlformats.org/officeDocument/2006/custom-properties" xmlns:vt="http://schemas.openxmlformats.org/officeDocument/2006/docPropsVTypes"/>
</file>