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Egypt</w:t>
      </w:r>
      <w:r>
        <w:t xml:space="preserve"> </w:t>
      </w:r>
      <w:r>
        <w:t xml:space="preserve">Alexandria</w:t>
      </w:r>
    </w:p>
    <w:bookmarkStart w:id="28" w:name="X888204135d79b05d2de16a5dc28352b82e14eda"/>
    <w:p>
      <w:pPr>
        <w:pStyle w:val="Heading1"/>
      </w:pPr>
      <w:r>
        <w:t xml:space="preserve">Sales Report: Strategic Market Analysis for Biomedical Engineering Services in Egypt Alexandria</w:t>
      </w:r>
    </w:p>
    <w:p>
      <w:pPr>
        <w:pStyle w:val="FirstParagraph"/>
      </w:pPr>
      <w:r>
        <w:rPr>
          <w:bCs/>
          <w:b/>
        </w:rPr>
        <w:t xml:space="preserve">Prepared For:</w:t>
      </w:r>
      <w:r>
        <w:t xml:space="preserve"> </w:t>
      </w:r>
      <w:r>
        <w:t xml:space="preserve">Sales &amp; Marketing Leadership, Regional Healthcare Technology Division</w:t>
      </w:r>
      <w:r>
        <w:br/>
      </w:r>
      <w:r>
        <w:rPr>
          <w:bCs/>
          <w:b/>
        </w:rPr>
        <w:t xml:space="preserve">Date:</w:t>
      </w:r>
      <w:r>
        <w:t xml:space="preserve"> </w:t>
      </w:r>
      <w:r>
        <w:t xml:space="preserve">October 26, 2023</w:t>
      </w:r>
      <w:r>
        <w:br/>
      </w:r>
      <w:r>
        <w:rPr>
          <w:bCs/>
          <w:b/>
        </w:rPr>
        <w:t xml:space="preserve">Region Covered:</w:t>
      </w:r>
      <w:r>
        <w:t xml:space="preserve"> </w:t>
      </w:r>
      <w:r>
        <w:t xml:space="preserve">Alexandria Governorate, Egypt</w:t>
      </w:r>
    </w:p>
    <w:bookmarkStart w:id="20" w:name="i.-executive-summary"/>
    <w:p>
      <w:pPr>
        <w:pStyle w:val="Heading2"/>
      </w:pPr>
      <w:r>
        <w:t xml:space="preserve">I. Executive Summary</w:t>
      </w:r>
    </w:p>
    <w:p>
      <w:pPr>
        <w:pStyle w:val="FirstParagraph"/>
      </w:pPr>
      <w:r>
        <w:t xml:space="preserve">This comprehensive sales report analyzes the rapidly evolving demand for Biomedical Engineering services within the healthcare infrastructure of Egypt Alexandria. As one of the nation's largest urban centers with over 5 million residents and critical healthcare facilities like Tanta University Hospital (Alexandria Branch), Alexandria represents a high-potential market for specialized Biomedical Engineer deployment. Our analysis confirms a 32% year-over-year growth in service contracts requiring Biomedical Engineer expertise, driven by government healthcare modernization initiatives under Egypt Vision 2030 and increasing private hospital investments. This report provides actionable insights for optimizing our sales strategy targeting hospitals, medical equipment distributors, and government health agencies across Alexandria.</w:t>
      </w:r>
    </w:p>
    <w:bookmarkEnd w:id="20"/>
    <w:bookmarkStart w:id="21" w:name="Xe629b98a4619178264078495ec60453ad12ed1f"/>
    <w:p>
      <w:pPr>
        <w:pStyle w:val="Heading2"/>
      </w:pPr>
      <w:r>
        <w:t xml:space="preserve">II. Market Context: Biomedical Engineering in Egypt Alexandria</w:t>
      </w:r>
    </w:p>
    <w:p>
      <w:pPr>
        <w:pStyle w:val="FirstParagraph"/>
      </w:pPr>
      <w:r>
        <w:t xml:space="preserve">Alexandria's healthcare ecosystem presents unique opportunities for Biomedical Engineer service providers. The city hosts 17 major hospitals (including Al-Adhamiya Medical Complex and Alexandria Main University Hospital) and 37 private clinics equipped with advanced diagnostic imaging, telemedicine platforms, and robotic surgery systems – all requiring skilled Biomedical Engineers for maintenance, calibration, and regulatory compliance. Unlike Cairo’s centralized market, Alexandria's healthcare providers face acute challenges due to aging infrastructure (40% of medical equipment exceeds recommended operational lifespan) and a critical shortage of locally trained Biomedical Engineers.</w:t>
      </w:r>
    </w:p>
    <w:p>
      <w:pPr>
        <w:pStyle w:val="BodyText"/>
      </w:pPr>
      <w:r>
        <w:t xml:space="preserve">Our regional sales data reveals that 89% of Alexandria-based healthcare facilities now mandate Biomedical Engineer certification for all capital equipment service contracts – a significant increase from 56% in 2020. This regulatory shift, mandated by the Egyptian Ministry of Health's National Medical Equipment Management Program (NMEP), has created an immediate $14.7M annual market opportunity for specialized engineering services within Alexandria alone.</w:t>
      </w:r>
    </w:p>
    <w:bookmarkEnd w:id="21"/>
    <w:bookmarkStart w:id="22" w:name="Xdabd2a05fb021ebf43776abc07048ff81fcd0ce"/>
    <w:p>
      <w:pPr>
        <w:pStyle w:val="Heading2"/>
      </w:pPr>
      <w:r>
        <w:t xml:space="preserve">III. Demand Drivers: Why Biomedical Engineer Services Are Critical in Alexandria</w:t>
      </w:r>
    </w:p>
    <w:p>
      <w:pPr>
        <w:pStyle w:val="FirstParagraph"/>
      </w:pPr>
      <w:r>
        <w:t xml:space="preserve">The surge in demand stems from three interconnected factors:</w:t>
      </w:r>
    </w:p>
    <w:p>
      <w:pPr>
        <w:numPr>
          <w:ilvl w:val="0"/>
          <w:numId w:val="1001"/>
        </w:numPr>
        <w:pStyle w:val="Compact"/>
      </w:pPr>
      <w:r>
        <w:rPr>
          <w:bCs/>
          <w:b/>
        </w:rPr>
        <w:t xml:space="preserve">Infrastructure Modernization:</w:t>
      </w:r>
      <w:r>
        <w:t xml:space="preserve"> </w:t>
      </w:r>
      <w:r>
        <w:t xml:space="preserve">Alexandria's Ministry of Health budget allocated EGP 6.8 billion (≈$210M) for hospital equipment upgrades in FY2023-24, including MRI machines at Alexandria Cancer Hospital and ultrasound systems at Qaitbey Military Hospital. Each installation requires certified Biomedical Engineer oversight.</w:t>
      </w:r>
    </w:p>
    <w:p>
      <w:pPr>
        <w:numPr>
          <w:ilvl w:val="0"/>
          <w:numId w:val="1001"/>
        </w:numPr>
        <w:pStyle w:val="Compact"/>
      </w:pPr>
      <w:r>
        <w:rPr>
          <w:bCs/>
          <w:b/>
        </w:rPr>
        <w:t xml:space="preserve">Regulatory Compliance:</w:t>
      </w:r>
      <w:r>
        <w:t xml:space="preserve"> </w:t>
      </w:r>
      <w:r>
        <w:t xml:space="preserve">Egypt’s new Medical Device Regulation (MDR 2019) enforces mandatory annual equipment audits by licensed Biomedical Engineers. Non-compliance risks facility accreditation – a critical factor for Alexandria's public hospitals competing for national funding.</w:t>
      </w:r>
    </w:p>
    <w:p>
      <w:pPr>
        <w:numPr>
          <w:ilvl w:val="0"/>
          <w:numId w:val="1001"/>
        </w:numPr>
        <w:pStyle w:val="Compact"/>
      </w:pPr>
      <w:r>
        <w:rPr>
          <w:bCs/>
          <w:b/>
        </w:rPr>
        <w:t xml:space="preserve">Talent Gap:</w:t>
      </w:r>
      <w:r>
        <w:t xml:space="preserve"> </w:t>
      </w:r>
      <w:r>
        <w:t xml:space="preserve">Alexandria University's Biomedical Engineering program graduates only 45 professionals annually, while the city needs 180+ new engineers yearly to maintain existing infrastructure. This gap fuels outsourced service demand.</w:t>
      </w:r>
    </w:p>
    <w:bookmarkEnd w:id="22"/>
    <w:bookmarkStart w:id="23" w:name="X0cfe08c9fa1aae2eb0a605377e7bbe7871197d7"/>
    <w:p>
      <w:pPr>
        <w:pStyle w:val="Heading2"/>
      </w:pPr>
      <w:r>
        <w:t xml:space="preserve">IV. Sales Performance Analysis: Alexandria Market Breakdown</w:t>
      </w:r>
    </w:p>
    <w:p>
      <w:pPr>
        <w:pStyle w:val="FirstParagraph"/>
      </w:pPr>
      <w:r>
        <w:t xml:space="preserve">Our Q3 sales data for biomedical engineering service contracts in Egypt Alexandria shows: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Contract Value (EGP)</w:t>
            </w:r>
          </w:p>
        </w:tc>
        <w:tc>
          <w:tcPr/>
          <w:p>
            <w:pPr>
              <w:pStyle w:val="Compact"/>
              <w:jc w:val="left"/>
            </w:pPr>
            <w:r>
              <w:t xml:space="preserve">Alexandria Market Share</w:t>
            </w:r>
          </w:p>
        </w:tc>
        <w:tc>
          <w:tcPr/>
          <w:p>
            <w:pPr>
              <w:pStyle w:val="Compact"/>
              <w:jc w:val="left"/>
            </w:pPr>
            <w:r>
              <w:t xml:space="preserve">Growth vs. Q2 2023</w:t>
            </w:r>
          </w:p>
        </w:tc>
      </w:tr>
      <w:tr>
        <w:tc>
          <w:tcPr/>
          <w:p>
            <w:pPr>
              <w:pStyle w:val="Compact"/>
              <w:jc w:val="left"/>
            </w:pPr>
            <w:r>
              <w:t xml:space="preserve">Annual Equipment Audits</w:t>
            </w:r>
          </w:p>
        </w:tc>
        <w:tc>
          <w:tcPr/>
          <w:p>
            <w:pPr>
              <w:pStyle w:val="Compact"/>
              <w:jc w:val="left"/>
            </w:pPr>
            <w:r>
              <w:t xml:space="preserve">45,000 - 185,000</w:t>
            </w:r>
          </w:p>
        </w:tc>
        <w:tc>
          <w:tcPr/>
          <w:p>
            <w:pPr>
              <w:pStyle w:val="Compact"/>
              <w:jc w:val="left"/>
            </w:pPr>
            <w:r>
              <w:t xml:space="preserve">68%</w:t>
            </w:r>
          </w:p>
        </w:tc>
        <w:tc>
          <w:tcPr/>
          <w:p>
            <w:pPr>
              <w:pStyle w:val="Compact"/>
              <w:jc w:val="left"/>
            </w:pPr>
            <w:r>
              <w:t xml:space="preserve">+27%</w:t>
            </w:r>
          </w:p>
        </w:tc>
      </w:tr>
      <w:tr>
        <w:tc>
          <w:tcPr/>
          <w:p>
            <w:pPr>
              <w:pStyle w:val="Compact"/>
              <w:jc w:val="left"/>
            </w:pPr>
            <w:r>
              <w:t xml:space="preserve">Maintenance Packages (2-year)</w:t>
            </w:r>
          </w:p>
        </w:tc>
        <w:tc>
          <w:tcPr/>
          <w:p>
            <w:pPr>
              <w:pStyle w:val="Compact"/>
              <w:jc w:val="left"/>
            </w:pPr>
            <w:r>
              <w:t xml:space="preserve">125,000 - 345,000</w:t>
            </w:r>
          </w:p>
        </w:tc>
        <w:tc>
          <w:tcPr/>
          <w:p>
            <w:pPr>
              <w:pStyle w:val="Compact"/>
              <w:jc w:val="left"/>
            </w:pPr>
            <w:r>
              <w:t xml:space="preserve">53%</w:t>
            </w:r>
          </w:p>
        </w:tc>
        <w:tc>
          <w:tcPr/>
          <w:p>
            <w:pPr>
              <w:pStyle w:val="Compact"/>
              <w:jc w:val="left"/>
            </w:pPr>
            <w:r>
              <w:t xml:space="preserve">+19%</w:t>
            </w:r>
          </w:p>
        </w:tc>
      </w:tr>
      <w:tr>
        <w:tc>
          <w:tcPr/>
          <w:p>
            <w:pPr>
              <w:pStyle w:val="Compact"/>
              <w:jc w:val="left"/>
            </w:pPr>
            <w:r>
              <w:t xml:space="preserve">Certification Training</w:t>
            </w:r>
          </w:p>
        </w:tc>
        <w:tc>
          <w:tcPr/>
          <w:p>
            <w:pPr>
              <w:pStyle w:val="Compact"/>
              <w:jc w:val="left"/>
            </w:pPr>
            <w:r>
              <w:t xml:space="preserve">8,200 - 28,700/person</w:t>
            </w:r>
          </w:p>
        </w:tc>
        <w:tc>
          <w:tcPr/>
          <w:p>
            <w:pPr>
              <w:pStyle w:val="Compact"/>
              <w:jc w:val="left"/>
            </w:pPr>
            <w:r>
              <w:t xml:space="preserve">41%</w:t>
            </w:r>
          </w:p>
        </w:tc>
        <w:tc>
          <w:tcPr/>
          <w:p>
            <w:pPr>
              <w:pStyle w:val="Compact"/>
              <w:jc w:val="left"/>
            </w:pPr>
            <w:r>
              <w:t xml:space="preserve">+35%</w:t>
            </w:r>
          </w:p>
        </w:tc>
      </w:tr>
    </w:tbl>
    <w:p>
      <w:pPr>
        <w:pStyle w:val="BodyText"/>
      </w:pPr>
      <w:r>
        <w:rPr>
          <w:iCs/>
          <w:i/>
        </w:rPr>
        <w:t xml:space="preserve">Note:</w:t>
      </w:r>
      <w:r>
        <w:t xml:space="preserve"> </w:t>
      </w:r>
      <w:r>
        <w:t xml:space="preserve">Alexandria's market share reflects our sales performance against competitors like Siemens Healthineers Egypt and local firms such as MedTech Solutions Cairo. The training service growth directly correlates with the Ministry of Health's new certification requirements for all biomedical roles.</w:t>
      </w:r>
    </w:p>
    <w:bookmarkEnd w:id="23"/>
    <w:bookmarkStart w:id="24" w:name="X407f34b3124ebc32c257f03b4880d1a1a9959f2"/>
    <w:p>
      <w:pPr>
        <w:pStyle w:val="Heading2"/>
      </w:pPr>
      <w:r>
        <w:t xml:space="preserve">V. Key Sales Opportunities in Egypt Alexandria</w:t>
      </w:r>
    </w:p>
    <w:p>
      <w:pPr>
        <w:pStyle w:val="FirstParagraph"/>
      </w:pPr>
      <w:r>
        <w:t xml:space="preserve">Our field intelligence identifies three high-potential sales corridors:</w:t>
      </w:r>
    </w:p>
    <w:p>
      <w:pPr>
        <w:numPr>
          <w:ilvl w:val="0"/>
          <w:numId w:val="1002"/>
        </w:numPr>
        <w:pStyle w:val="Compact"/>
      </w:pPr>
      <w:r>
        <w:rPr>
          <w:bCs/>
          <w:b/>
        </w:rPr>
        <w:t xml:space="preserve">Public Hospital Partnerships:</w:t>
      </w:r>
      <w:r>
        <w:t xml:space="preserve"> </w:t>
      </w:r>
      <w:r>
        <w:t xml:space="preserve">Targeting the newly established Alexandria Health Cluster (comprising 8 public hospitals) for comprehensive service contracts. The cluster's EGP 1.2B equipment modernization plan creates immediate opportunities for Biomedical Engineer-managed installations.</w:t>
      </w:r>
    </w:p>
    <w:p>
      <w:pPr>
        <w:numPr>
          <w:ilvl w:val="0"/>
          <w:numId w:val="1002"/>
        </w:numPr>
        <w:pStyle w:val="Compact"/>
      </w:pPr>
      <w:r>
        <w:rPr>
          <w:bCs/>
          <w:b/>
        </w:rPr>
        <w:t xml:space="preserve">Private Sector Expansion:</w:t>
      </w:r>
      <w:r>
        <w:t xml:space="preserve"> </w:t>
      </w:r>
      <w:r>
        <w:t xml:space="preserve">With 7 new private hospitals approved in Alexandria this year (e.g., Al-Qanater Medical City), our sales team can offer bundled service packages including on-site Biomedical Engineer staffing and predictive maintenance software – a gap currently unmet by local competitors.</w:t>
      </w:r>
    </w:p>
    <w:p>
      <w:pPr>
        <w:numPr>
          <w:ilvl w:val="0"/>
          <w:numId w:val="1002"/>
        </w:numPr>
        <w:pStyle w:val="Compact"/>
      </w:pPr>
      <w:r>
        <w:rPr>
          <w:bCs/>
          <w:b/>
        </w:rPr>
        <w:t xml:space="preserve">Government Training Programs:</w:t>
      </w:r>
      <w:r>
        <w:t xml:space="preserve"> </w:t>
      </w:r>
      <w:r>
        <w:t xml:space="preserve">Partnering with Alexandria University’s newly launched Biomedical Engineering Department to co-develop certified training modules. This positions our company as the regional authority for compliance, driving future service contracts through institutional relationships.</w:t>
      </w:r>
    </w:p>
    <w:bookmarkEnd w:id="24"/>
    <w:bookmarkStart w:id="25" w:name="vi.-competitive-landscape-assessment"/>
    <w:p>
      <w:pPr>
        <w:pStyle w:val="Heading2"/>
      </w:pPr>
      <w:r>
        <w:t xml:space="preserve">VI. Competitive Landscape Assessment</w:t>
      </w:r>
    </w:p>
    <w:p>
      <w:pPr>
        <w:pStyle w:val="FirstParagraph"/>
      </w:pPr>
      <w:r>
        <w:t xml:space="preserve">Alexandria's market is characterized by fragmented local providers (e.g., MedEquip Alexandria) offering limited technical capabilities and international competitors (like Philips Healthcare) with high pricing. Our competitive edge lies in our hybrid model: certified Biomedical Engineers based in Alexandria (not outsourced from Cairo), offering 24/7 response times – a critical differentiator for time-sensitive hospital equipment failures.</w:t>
      </w:r>
    </w:p>
    <w:bookmarkEnd w:id="25"/>
    <w:bookmarkStart w:id="26" w:name="X0bb8a539ff05686001d7c7148a4c3941b74a40f"/>
    <w:p>
      <w:pPr>
        <w:pStyle w:val="Heading2"/>
      </w:pPr>
      <w:r>
        <w:t xml:space="preserve">VII. Strategic Recommendations for Sales Execution</w:t>
      </w:r>
    </w:p>
    <w:p>
      <w:pPr>
        <w:pStyle w:val="FirstParagraph"/>
      </w:pPr>
      <w:r>
        <w:t xml:space="preserve">To capitalize on Alexandria's market potential, we recommend:</w:t>
      </w:r>
    </w:p>
    <w:p>
      <w:pPr>
        <w:numPr>
          <w:ilvl w:val="0"/>
          <w:numId w:val="1003"/>
        </w:numPr>
        <w:pStyle w:val="Compact"/>
      </w:pPr>
      <w:r>
        <w:rPr>
          <w:bCs/>
          <w:b/>
        </w:rPr>
        <w:t xml:space="preserve">Deploy Local Biomedical Engineer Coordinators:</w:t>
      </w:r>
      <w:r>
        <w:t xml:space="preserve"> </w:t>
      </w:r>
      <w:r>
        <w:t xml:space="preserve">Establish two dedicated regional coordinators in Alexandria (one for public hospitals, one for private sector) to manage client relationships. This directly addresses the "local presence" requirement cited by 76% of hospital procurement officers.</w:t>
      </w:r>
    </w:p>
    <w:p>
      <w:pPr>
        <w:numPr>
          <w:ilvl w:val="0"/>
          <w:numId w:val="1003"/>
        </w:numPr>
        <w:pStyle w:val="Compact"/>
      </w:pPr>
      <w:r>
        <w:rPr>
          <w:bCs/>
          <w:b/>
        </w:rPr>
        <w:t xml:space="preserve">Pitch Compliance-Driven Bundles:</w:t>
      </w:r>
      <w:r>
        <w:t xml:space="preserve"> </w:t>
      </w:r>
      <w:r>
        <w:t xml:space="preserve">Develop service packages explicitly tied to Egypt's MDR 2019 requirements, emphasizing how our Biomedical Engineers prevent costly accreditation penalties.</w:t>
      </w:r>
    </w:p>
    <w:p>
      <w:pPr>
        <w:numPr>
          <w:ilvl w:val="0"/>
          <w:numId w:val="1003"/>
        </w:numPr>
        <w:pStyle w:val="Compact"/>
      </w:pPr>
      <w:r>
        <w:rPr>
          <w:bCs/>
          <w:b/>
        </w:rPr>
        <w:t xml:space="preserve">Leverage Alexandria University Partnership:</w:t>
      </w:r>
      <w:r>
        <w:t xml:space="preserve"> </w:t>
      </w:r>
      <w:r>
        <w:t xml:space="preserve">Co-host quarterly "Medical Equipment Compliance Workshops" at the university campus. This builds brand authority and generates leads from graduating students entering the job market.</w:t>
      </w:r>
    </w:p>
    <w:bookmarkEnd w:id="26"/>
    <w:bookmarkStart w:id="27" w:name="X88e5f81434dd29af826827beaae4b91f0f7353a"/>
    <w:p>
      <w:pPr>
        <w:pStyle w:val="Heading2"/>
      </w:pPr>
      <w:r>
        <w:t xml:space="preserve">VIII. Conclusion: The Alexandria Opportunity</w:t>
      </w:r>
    </w:p>
    <w:p>
      <w:pPr>
        <w:pStyle w:val="FirstParagraph"/>
      </w:pPr>
      <w:r>
        <w:t xml:space="preserve">The market for Biomedical Engineering services in Egypt Alexandria is not merely growing – it's becoming a structural necessity for healthcare facilities operating under modern regulatory frameworks. With infrastructure aging at 5% annual rate and government funding accelerating, this represents the highest-yield regional opportunity for our biomedical services division. Our current sales performance confirms strong demand, but to capture 40% market share by Q2 2024 (up from our current 31%), we must implement localized service delivery through dedicated Alexandria-based Biomedical Engineer teams.</w:t>
      </w:r>
    </w:p>
    <w:p>
      <w:pPr>
        <w:pStyle w:val="BodyText"/>
      </w:pPr>
      <w:r>
        <w:t xml:space="preserve">Ignoring this segment means ceding ground to competitors who fail to understand Alexandria's unique healthcare ecosystem. By embedding our sales strategy within the city’s infrastructure renewal narrative – where every hospital, clinic, and regulatory body now requires certified Biomedical Engineer support – we position ourselves not as vendors but as essential partners in Egypt Alexandria's healthcare transformation.</w:t>
      </w:r>
    </w:p>
    <w:p>
      <w:pPr>
        <w:pStyle w:val="BodyText"/>
      </w:pPr>
      <w:r>
        <w:rPr>
          <w:bCs/>
          <w:b/>
        </w:rPr>
        <w:t xml:space="preserve">Prepared by:</w:t>
      </w:r>
      <w:r>
        <w:t xml:space="preserve"> </w:t>
      </w:r>
      <w:r>
        <w:t xml:space="preserve">Regional Sales Strategy Team</w:t>
      </w:r>
      <w:r>
        <w:br/>
      </w:r>
      <w:r>
        <w:rPr>
          <w:bCs/>
          <w:b/>
        </w:rPr>
        <w:t xml:space="preserve">Contact:</w:t>
      </w:r>
      <w:r>
        <w:t xml:space="preserve"> </w:t>
      </w:r>
      <w:r>
        <w:t xml:space="preserve">sales@yourcompany.com | +20 3 582-XXXX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Market Analysis in Egypt Alexandria</dc:title>
  <dc:creator/>
  <dc:language>en</dc:language>
  <cp:keywords/>
  <dcterms:created xsi:type="dcterms:W3CDTF">2026-09-27T09:34:55Z</dcterms:created>
  <dcterms:modified xsi:type="dcterms:W3CDTF">2026-09-27T09:34:55Z</dcterms:modified>
</cp:coreProperties>
</file>

<file path=docProps/custom.xml><?xml version="1.0" encoding="utf-8"?>
<Properties xmlns="http://schemas.openxmlformats.org/officeDocument/2006/custom-properties" xmlns:vt="http://schemas.openxmlformats.org/officeDocument/2006/docPropsVTypes"/>
</file>