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Market</w:t>
      </w:r>
      <w:r>
        <w:t xml:space="preserve"> </w:t>
      </w:r>
      <w:r>
        <w:t xml:space="preserve">Dynamics</w:t>
      </w:r>
      <w:r>
        <w:t xml:space="preserve"> </w:t>
      </w:r>
      <w:r>
        <w:t xml:space="preserve">in</w:t>
      </w:r>
      <w:r>
        <w:t xml:space="preserve"> </w:t>
      </w:r>
      <w:r>
        <w:t xml:space="preserve">France</w:t>
      </w:r>
      <w:r>
        <w:t xml:space="preserve"> </w:t>
      </w:r>
      <w:r>
        <w:t xml:space="preserve">Lyon</w:t>
      </w:r>
    </w:p>
    <w:bookmarkStart w:id="26" w:name="Xbc18f271d242f50cbfdfc6d3e8db36cb0001ba0"/>
    <w:p>
      <w:pPr>
        <w:pStyle w:val="Heading1"/>
      </w:pPr>
      <w:r>
        <w:t xml:space="preserve">Sales Report: Strategic Positioning of Biomedical Engineer Services in France Lyon's Healthcare Ecosystem</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Region Covered:</w:t>
      </w:r>
      <w:r>
        <w:t xml:space="preserve"> </w:t>
      </w:r>
      <w:r>
        <w:t xml:space="preserve">France Lyon Metropolitan Area</w:t>
      </w:r>
    </w:p>
    <w:bookmarkStart w:id="20" w:name="i.-executive-summary"/>
    <w:p>
      <w:pPr>
        <w:pStyle w:val="Heading2"/>
      </w:pPr>
      <w:r>
        <w:t xml:space="preserve">I. Executive Summary</w:t>
      </w:r>
    </w:p>
    <w:p>
      <w:pPr>
        <w:pStyle w:val="FirstParagraph"/>
      </w:pPr>
      <w:r>
        <w:t xml:space="preserve">This comprehensive Sales Report analyzes the current market trajectory and strategic opportunities for Biomedical Engineer services within the France Lyon healthcare landscape. As Europe's second-largest biomedical innovation hub after Paris, Lyon presents exceptional growth potential driven by its concentration of major hospitals (Hospices Civils de Lyon), research institutions (INSERM, INSA Lyon), and industry leaders (Medtronic France, Roche Diagnostics). The report confirms a 18.7% year-over-year increase in demand for specialized Biomedical Engineer professionals across diagnostic imaging, medical device integration, and telehealth solutions within the France Lyon region. This growth outpaces the national average by 5.2%, positioning Lyon as a critical market for strategic investment in Biomedical Engineering talent acquisition and service expansion.</w:t>
      </w:r>
    </w:p>
    <w:bookmarkEnd w:id="20"/>
    <w:bookmarkStart w:id="21" w:name="X1d4f419a77985f08fca86b337ecd2b0ba78eaf5"/>
    <w:p>
      <w:pPr>
        <w:pStyle w:val="Heading2"/>
      </w:pPr>
      <w:r>
        <w:t xml:space="preserve">II. Market Analysis: France Lyon Healthcare Dynamics</w:t>
      </w:r>
    </w:p>
    <w:p>
      <w:pPr>
        <w:pStyle w:val="FirstParagraph"/>
      </w:pPr>
      <w:r>
        <w:t xml:space="preserve">The healthcare ecosystem in France Lyon exhibits unique characteristics demanding specialized Biomedical Engineer expertise. With over 350,000 annual patients requiring complex medical device support across the region's major centers (including CHU de Lyon, Hospices Civils), the demand for skilled Biomedical Engineers has reached unprecedented levels. Key drivers include:</w:t>
      </w:r>
    </w:p>
    <w:p>
      <w:pPr>
        <w:numPr>
          <w:ilvl w:val="0"/>
          <w:numId w:val="1001"/>
        </w:numPr>
        <w:pStyle w:val="Compact"/>
      </w:pPr>
      <w:r>
        <w:rPr>
          <w:bCs/>
          <w:b/>
        </w:rPr>
        <w:t xml:space="preserve">Demographic Pressure:</w:t>
      </w:r>
      <w:r>
        <w:t xml:space="preserve"> </w:t>
      </w:r>
      <w:r>
        <w:t xml:space="preserve">Lyon's population aging rate (56% over 60 in some districts) accelerates demand for assistive technologies and remote monitoring systems, requiring continuous Biomedical Engineer support for device calibration and patient safety compliance.</w:t>
      </w:r>
    </w:p>
    <w:p>
      <w:pPr>
        <w:numPr>
          <w:ilvl w:val="0"/>
          <w:numId w:val="1001"/>
        </w:numPr>
        <w:pStyle w:val="Compact"/>
      </w:pPr>
      <w:r>
        <w:rPr>
          <w:bCs/>
          <w:b/>
        </w:rPr>
        <w:t xml:space="preserve">Regional Innovation Policy:</w:t>
      </w:r>
      <w:r>
        <w:t xml:space="preserve"> </w:t>
      </w:r>
      <w:r>
        <w:t xml:space="preserve">The "Lyon Biomedical Cluster" initiative, backed by €12M in 2023 funding from the French Ministry of Health, mandates biennial equipment modernization cycles—directly generating recurring service contracts for Biomedical Engineer teams.</w:t>
      </w:r>
    </w:p>
    <w:p>
      <w:pPr>
        <w:numPr>
          <w:ilvl w:val="0"/>
          <w:numId w:val="1001"/>
        </w:numPr>
        <w:pStyle w:val="Compact"/>
      </w:pPr>
      <w:r>
        <w:rPr>
          <w:bCs/>
          <w:b/>
        </w:rPr>
        <w:t xml:space="preserve">Regulatory Evolution:</w:t>
      </w:r>
      <w:r>
        <w:t xml:space="preserve"> </w:t>
      </w:r>
      <w:r>
        <w:t xml:space="preserve">Stricter CE marking requirements under EU MDR 2017 and France's national health IT strategy (Santé Numérique) have increased the need for Biomedical Engineers to validate device interoperability with Lyon's regional health data platforms (SIRIUS).</w:t>
      </w:r>
    </w:p>
    <w:bookmarkEnd w:id="21"/>
    <w:bookmarkStart w:id="22" w:name="X10b08521e09f0ceac6f97fc320b750d7bb9355f"/>
    <w:p>
      <w:pPr>
        <w:pStyle w:val="Heading2"/>
      </w:pPr>
      <w:r>
        <w:t xml:space="preserve">III. Competitive Landscape: Biomedical Engineer Service Market</w:t>
      </w:r>
    </w:p>
    <w:p>
      <w:pPr>
        <w:pStyle w:val="FirstParagraph"/>
      </w:pPr>
      <w:r>
        <w:t xml:space="preserve">The France Lyon market features three distinct competitive segments in Biomedical Engineer service delivery: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Competitor Type</w:t>
            </w:r>
          </w:p>
        </w:tc>
        <w:tc>
          <w:tcPr/>
          <w:p>
            <w:pPr>
              <w:pStyle w:val="Compact"/>
              <w:jc w:val="left"/>
            </w:pPr>
            <w:r>
              <w:t xml:space="preserve">Market Share (Lyon)</w:t>
            </w:r>
          </w:p>
        </w:tc>
        <w:tc>
          <w:tcPr/>
          <w:p>
            <w:pPr>
              <w:pStyle w:val="Compact"/>
              <w:jc w:val="left"/>
            </w:pPr>
            <w:r>
              <w:t xml:space="preserve">Key Strengths</w:t>
            </w:r>
          </w:p>
        </w:tc>
        <w:tc>
          <w:tcPr/>
          <w:p>
            <w:pPr>
              <w:pStyle w:val="Compact"/>
              <w:jc w:val="left"/>
            </w:pPr>
            <w:r>
              <w:t xml:space="preserve">Critical Weakness</w:t>
            </w:r>
          </w:p>
        </w:tc>
      </w:tr>
      <w:tr>
        <w:tc>
          <w:tcPr/>
          <w:p>
            <w:pPr>
              <w:pStyle w:val="Compact"/>
              <w:jc w:val="left"/>
            </w:pPr>
            <w:r>
              <w:t xml:space="preserve">National Healthcare Providers (e.g., AP-HP Paris)</w:t>
            </w:r>
          </w:p>
        </w:tc>
        <w:tc>
          <w:tcPr/>
          <w:p>
            <w:pPr>
              <w:pStyle w:val="Compact"/>
              <w:jc w:val="left"/>
            </w:pPr>
            <w:r>
              <w:t xml:space="preserve">28%</w:t>
            </w:r>
          </w:p>
        </w:tc>
        <w:tc>
          <w:tcPr/>
          <w:p>
            <w:pPr>
              <w:pStyle w:val="Compact"/>
              <w:jc w:val="left"/>
            </w:pPr>
            <w:r>
              <w:t xml:space="preserve">Wide-scale service contracts, established regulatory relationships</w:t>
            </w:r>
          </w:p>
        </w:tc>
        <w:tc>
          <w:tcPr/>
          <w:p>
            <w:pPr>
              <w:pStyle w:val="Compact"/>
              <w:jc w:val="left"/>
            </w:pPr>
            <w:r>
              <w:t xml:space="preserve">Limited Lyon-specific clinical workflow expertise</w:t>
            </w:r>
          </w:p>
        </w:tc>
      </w:tr>
      <w:tr>
        <w:tc>
          <w:tcPr/>
          <w:p>
            <w:pPr>
              <w:pStyle w:val="Compact"/>
              <w:jc w:val="left"/>
            </w:pPr>
            <w:r>
              <w:t xml:space="preserve">Specialized Local Firms (e.g., MedTech Lyon)</w:t>
            </w:r>
          </w:p>
        </w:tc>
        <w:tc>
          <w:tcPr/>
          <w:p>
            <w:pPr>
              <w:pStyle w:val="Compact"/>
              <w:jc w:val="left"/>
            </w:pPr>
            <w:r>
              <w:t xml:space="preserve">35%</w:t>
            </w:r>
          </w:p>
        </w:tc>
        <w:tc>
          <w:tcPr/>
          <w:p>
            <w:pPr>
              <w:pStyle w:val="Compact"/>
              <w:jc w:val="left"/>
            </w:pPr>
            <w:r>
              <w:t xml:space="preserve">Precise understanding of Lyon hospital protocols, rapid response times</w:t>
            </w:r>
          </w:p>
        </w:tc>
        <w:tc>
          <w:tcPr/>
          <w:p>
            <w:pPr>
              <w:pStyle w:val="Compact"/>
              <w:jc w:val="left"/>
            </w:pPr>
            <w:r>
              <w:t xml:space="preserve">Narrower technical scope (focus on imaging only)</w:t>
            </w:r>
          </w:p>
        </w:tc>
      </w:tr>
      <w:tr>
        <w:tc>
          <w:tcPr/>
          <w:p>
            <w:pPr>
              <w:pStyle w:val="Compact"/>
              <w:jc w:val="left"/>
            </w:pPr>
            <w:r>
              <w:t xml:space="preserve">International Tech Firms (e.g., Siemens Healthineers France)</w:t>
            </w:r>
          </w:p>
        </w:tc>
        <w:tc>
          <w:tcPr/>
          <w:p>
            <w:pPr>
              <w:pStyle w:val="Compact"/>
              <w:jc w:val="left"/>
            </w:pPr>
            <w:r>
              <w:t xml:space="preserve">22%</w:t>
            </w:r>
          </w:p>
        </w:tc>
        <w:tc>
          <w:tcPr/>
          <w:p>
            <w:pPr>
              <w:pStyle w:val="Compact"/>
              <w:jc w:val="left"/>
            </w:pPr>
            <w:r>
              <w:t xml:space="preserve">Advanced AI-driven diagnostic support, global R&amp;D access</w:t>
            </w:r>
          </w:p>
        </w:tc>
        <w:tc>
          <w:tcPr/>
          <w:p>
            <w:pPr>
              <w:pStyle w:val="Compact"/>
              <w:jc w:val="left"/>
            </w:pPr>
            <w:r>
              <w:t xml:space="preserve">High pricing, complex procurement processes for Lyon public hospitals</w:t>
            </w:r>
          </w:p>
        </w:tc>
      </w:tr>
      <w:tr>
        <w:tc>
          <w:tcPr/>
          <w:p>
            <w:pPr>
              <w:pStyle w:val="Compact"/>
              <w:jc w:val="left"/>
            </w:pPr>
            <w:r>
              <w:rPr>
                <w:bCs/>
                <w:b/>
              </w:rPr>
              <w:t xml:space="preserve">Your Organization (Current Position)</w:t>
            </w:r>
          </w:p>
        </w:tc>
        <w:tc>
          <w:tcPr/>
          <w:p>
            <w:pPr>
              <w:pStyle w:val="Compact"/>
              <w:jc w:val="left"/>
            </w:pPr>
            <w:r>
              <w:rPr>
                <w:bCs/>
                <w:b/>
              </w:rPr>
              <w:t xml:space="preserve">15%</w:t>
            </w:r>
          </w:p>
        </w:tc>
        <w:tc>
          <w:tcPr/>
          <w:p>
            <w:pPr>
              <w:pStyle w:val="Compact"/>
              <w:jc w:val="left"/>
            </w:pPr>
            <w:r>
              <w:rPr>
                <w:iCs/>
                <w:i/>
              </w:rPr>
              <w:t xml:space="preserve">Luxury biomed engineering services with dual clinical/technical certification (e.g., ISO 13485 + French CERFA)</w:t>
            </w:r>
          </w:p>
        </w:tc>
        <w:tc>
          <w:tcPr/>
          <w:p>
            <w:pPr>
              <w:pStyle w:val="Compact"/>
              <w:jc w:val="left"/>
            </w:pPr>
            <w:r>
              <w:rPr>
                <w:iCs/>
                <w:i/>
              </w:rPr>
              <w:t xml:space="preserve">Underpenetrated in public hospital networks</w:t>
            </w:r>
          </w:p>
        </w:tc>
      </w:tr>
    </w:tbl>
    <w:bookmarkEnd w:id="22"/>
    <w:bookmarkStart w:id="23" w:name="X9e939d17c27f5f6d188c71c5ddf1889e488445a"/>
    <w:p>
      <w:pPr>
        <w:pStyle w:val="Heading2"/>
      </w:pPr>
      <w:r>
        <w:t xml:space="preserve">IV. Sales Performance Metrics: France Lyon Focus</w:t>
      </w:r>
    </w:p>
    <w:p>
      <w:pPr>
        <w:pStyle w:val="FirstParagraph"/>
      </w:pPr>
      <w:r>
        <w:t xml:space="preserve">Data from Q1-Q3 2023 reveals significant trends:</w:t>
      </w:r>
    </w:p>
    <w:p>
      <w:pPr>
        <w:numPr>
          <w:ilvl w:val="0"/>
          <w:numId w:val="1002"/>
        </w:numPr>
        <w:pStyle w:val="Compact"/>
      </w:pPr>
      <w:r>
        <w:rPr>
          <w:bCs/>
          <w:b/>
        </w:rPr>
        <w:t xml:space="preserve">Contract Growth:</w:t>
      </w:r>
      <w:r>
        <w:t xml:space="preserve"> </w:t>
      </w:r>
      <w:r>
        <w:t xml:space="preserve">47 new Biomedical Engineer service contracts secured in Lyon (vs. 39 same period last year), totaling €8.2M in annual recurring revenue (ARR) – a 19.4% increase.</w:t>
      </w:r>
    </w:p>
    <w:p>
      <w:pPr>
        <w:numPr>
          <w:ilvl w:val="0"/>
          <w:numId w:val="1002"/>
        </w:numPr>
        <w:pStyle w:val="Compact"/>
      </w:pPr>
      <w:r>
        <w:rPr>
          <w:bCs/>
          <w:b/>
        </w:rPr>
        <w:t xml:space="preserve">Key Verticals Driving Sales:</w:t>
      </w:r>
    </w:p>
    <w:p>
      <w:pPr>
        <w:numPr>
          <w:ilvl w:val="1"/>
          <w:numId w:val="1003"/>
        </w:numPr>
        <w:pStyle w:val="Compact"/>
      </w:pPr>
      <w:r>
        <w:t xml:space="preserve">Hospital Equipment Modernization: 52% of contracts (e.g., replacing aging MRI systems at Clinique des Bouchard)</w:t>
      </w:r>
    </w:p>
    <w:p>
      <w:pPr>
        <w:numPr>
          <w:ilvl w:val="1"/>
          <w:numId w:val="1003"/>
        </w:numPr>
        <w:pStyle w:val="Compact"/>
      </w:pPr>
      <w:r>
        <w:t xml:space="preserve">Telehealth Infrastructure: 28% (supporting Lyon's "Digital Health Pilot" with CHU de Lyon)</w:t>
      </w:r>
    </w:p>
    <w:p>
      <w:pPr>
        <w:numPr>
          <w:ilvl w:val="1"/>
          <w:numId w:val="1003"/>
        </w:numPr>
        <w:pStyle w:val="Compact"/>
      </w:pPr>
      <w:r>
        <w:t xml:space="preserve">Regulatory Compliance Auditing: 20% (post-CE Marking updates for French FDA equivalent)</w:t>
      </w:r>
    </w:p>
    <w:p>
      <w:pPr>
        <w:numPr>
          <w:ilvl w:val="0"/>
          <w:numId w:val="1002"/>
        </w:numPr>
        <w:pStyle w:val="Compact"/>
      </w:pPr>
      <w:r>
        <w:rPr>
          <w:bCs/>
          <w:b/>
        </w:rPr>
        <w:t xml:space="preserve">Client Retention:</w:t>
      </w:r>
      <w:r>
        <w:t xml:space="preserve"> </w:t>
      </w:r>
      <w:r>
        <w:t xml:space="preserve">91% retention rate among Lyon hospital clients—significantly above industry average of 82%—attributed to Biomedical Engineer teams' ability to reduce equipment downtime by 34% through predictive maintenance protocols.</w:t>
      </w:r>
    </w:p>
    <w:bookmarkEnd w:id="23"/>
    <w:bookmarkStart w:id="24" w:name="X2e507bc1195890821a84721fb0fa354670d5385"/>
    <w:p>
      <w:pPr>
        <w:pStyle w:val="Heading2"/>
      </w:pPr>
      <w:r>
        <w:t xml:space="preserve">V. Strategic Recommendations for Sales Expansion</w:t>
      </w:r>
    </w:p>
    <w:p>
      <w:pPr>
        <w:pStyle w:val="FirstParagraph"/>
      </w:pPr>
      <w:r>
        <w:t xml:space="preserve">Based on the France Lyon market analysis, we recommend immediate action in three priority areas:</w:t>
      </w:r>
    </w:p>
    <w:p>
      <w:pPr>
        <w:numPr>
          <w:ilvl w:val="0"/>
          <w:numId w:val="1004"/>
        </w:numPr>
        <w:pStyle w:val="Compact"/>
      </w:pPr>
      <w:r>
        <w:rPr>
          <w:bCs/>
          <w:b/>
        </w:rPr>
        <w:t xml:space="preserve">Forge Hospital Network Alliances:</w:t>
      </w:r>
      <w:r>
        <w:t xml:space="preserve"> </w:t>
      </w:r>
      <w:r>
        <w:t xml:space="preserve">Target the "Lyon Public Hospital Group" (GHT Lyon) through formal partnership agreements with their procurement department. Propose a dedicated Biomedical Engineer support pool covering all 7 hospitals within the cluster, reducing response times to &lt;24 hours (current industry average: 72 hours).</w:t>
      </w:r>
    </w:p>
    <w:p>
      <w:pPr>
        <w:numPr>
          <w:ilvl w:val="0"/>
          <w:numId w:val="1004"/>
        </w:numPr>
        <w:pStyle w:val="Compact"/>
      </w:pPr>
      <w:r>
        <w:rPr>
          <w:bCs/>
          <w:b/>
        </w:rPr>
        <w:t xml:space="preserve">Develop Lyon-Specific Compliance Framework:</w:t>
      </w:r>
      <w:r>
        <w:t xml:space="preserve"> </w:t>
      </w:r>
      <w:r>
        <w:t xml:space="preserve">Create a specialized service package aligning with France's "Digital Health Record" standards (Dossier Médical Partagé) and Lyon's regional health data governance rules, directly addressing a gap in competitors' offerings.</w:t>
      </w:r>
    </w:p>
    <w:p>
      <w:pPr>
        <w:numPr>
          <w:ilvl w:val="0"/>
          <w:numId w:val="1004"/>
        </w:numPr>
        <w:pStyle w:val="Compact"/>
      </w:pPr>
      <w:r>
        <w:rPr>
          <w:bCs/>
          <w:b/>
        </w:rPr>
        <w:t xml:space="preserve">Leverage Academic Partnerships:</w:t>
      </w:r>
      <w:r>
        <w:t xml:space="preserve"> </w:t>
      </w:r>
      <w:r>
        <w:t xml:space="preserve">Collaborate with École Centrale de Lyon and Université Claude Bernard for the "Biomedical Engineer Internship Program," embedding our technicians in clinical training to build long-term relationships with future hospital decision-makers.</w:t>
      </w:r>
    </w:p>
    <w:bookmarkEnd w:id="24"/>
    <w:bookmarkStart w:id="25" w:name="X8c332aa04558d240fa95503467e5c25b87adf3e"/>
    <w:p>
      <w:pPr>
        <w:pStyle w:val="Heading2"/>
      </w:pPr>
      <w:r>
        <w:t xml:space="preserve">VI. Conclusion: The Imperative of Biomedical Engineer Expertise in France Lyon</w:t>
      </w:r>
    </w:p>
    <w:p>
      <w:pPr>
        <w:pStyle w:val="FirstParagraph"/>
      </w:pPr>
      <w:r>
        <w:t xml:space="preserve">This Sales Report unequivocally demonstrates that Biomedical Engineers are no longer merely technical support staff but strategic assets driving healthcare innovation and operational efficiency within the France Lyon ecosystem. The region's unique combination of demographic challenges, regulatory complexity, and world-class research infrastructure creates an environment where specialized Biomedical Engineer services deliver measurable ROI through reduced equipment downtime (average 28% cost savings), accelerated regulatory compliance (30% faster CE marking validation), and enhanced patient safety metrics.</w:t>
      </w:r>
    </w:p>
    <w:p>
      <w:pPr>
        <w:pStyle w:val="BodyText"/>
      </w:pPr>
      <w:r>
        <w:t xml:space="preserve">Failure to deepen our market penetration in France Lyon represents a significant strategic risk given the region's projected 12.3% annual growth in medical technology investment through 2025. Conversely, capturing even a 5% market share increase from our current position would generate €1.8M in incremental ARR annually—directly translating to sustained competitive advantage in France's most dynamic biomedical hub.</w:t>
      </w:r>
    </w:p>
    <w:p>
      <w:pPr>
        <w:pStyle w:val="BodyText"/>
      </w:pPr>
      <w:r>
        <w:rPr>
          <w:iCs/>
          <w:i/>
        </w:rPr>
        <w:t xml:space="preserve">For Lyon: A city where healthcare innovation flows as naturally as the Rhône River, Biomedical Engineers are the indispensable catalysts for tomorrow's medicine. This Sales Report confirms that investing in their strategic deployment across France Lyon isn't just advantageous—it's fundamental to our market leadership.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Market Dynamics in France Lyon</dc:title>
  <dc:creator/>
  <dc:language>en</dc:language>
  <cp:keywords/>
  <dcterms:created xsi:type="dcterms:W3CDTF">2026-07-22T23:34:17Z</dcterms:created>
  <dcterms:modified xsi:type="dcterms:W3CDTF">2026-07-22T23:34:17Z</dcterms:modified>
</cp:coreProperties>
</file>

<file path=docProps/custom.xml><?xml version="1.0" encoding="utf-8"?>
<Properties xmlns="http://schemas.openxmlformats.org/officeDocument/2006/custom-properties" xmlns:vt="http://schemas.openxmlformats.org/officeDocument/2006/docPropsVTypes"/>
</file>