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France</w:t>
      </w:r>
      <w:r>
        <w:t xml:space="preserve"> </w:t>
      </w:r>
      <w:r>
        <w:t xml:space="preserve">Paris</w:t>
      </w:r>
    </w:p>
    <w:bookmarkStart w:id="27" w:name="X4630aa76447e8cdcc6cafb29d331261b40bee31"/>
    <w:p>
      <w:pPr>
        <w:pStyle w:val="Heading1"/>
      </w:pPr>
      <w:r>
        <w:t xml:space="preserve">Sales Report: Biomedical Engineering Services Market Analysis in France, Paris</w:t>
      </w:r>
    </w:p>
    <w:p>
      <w:pPr>
        <w:pStyle w:val="FirstParagraph"/>
      </w:pPr>
      <w:r>
        <w:rPr>
          <w:bCs/>
          <w:b/>
        </w:rPr>
        <w:t xml:space="preserve">Prepared For:</w:t>
      </w:r>
      <w:r>
        <w:t xml:space="preserve"> </w:t>
      </w:r>
      <w:r>
        <w:t xml:space="preserve">Executive Leadership &amp; Sales Strategy Committee</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r>
        <w:br/>
      </w:r>
      <w:r>
        <w:rPr>
          <w:bCs/>
          <w:b/>
        </w:rPr>
        <w:t xml:space="preserve">Region Focus:</w:t>
      </w:r>
      <w:r>
        <w:t xml:space="preserve"> </w:t>
      </w:r>
      <w:r>
        <w:t xml:space="preserve">France, with Primary Emphasis on Paris Metropolitan Area</w:t>
      </w:r>
    </w:p>
    <w:bookmarkStart w:id="20" w:name="i.-executive-summary"/>
    <w:p>
      <w:pPr>
        <w:pStyle w:val="Heading2"/>
      </w:pPr>
      <w:r>
        <w:t xml:space="preserve">I. Executive Summary</w:t>
      </w:r>
    </w:p>
    <w:p>
      <w:pPr>
        <w:pStyle w:val="FirstParagraph"/>
      </w:pPr>
      <w:r>
        <w:t xml:space="preserve">This Sales Report provides a comprehensive analysis of the Biomedical Engineering services market within France, with specific emphasis on the strategic importance of Paris as the nation's healthcare innovation hub. The report details significant growth in demand for specialized Biomedical Engineer support across Parisian hospitals, research institutions, and medical technology firms. Our Q3 sales performance demonstrates a 22% year-over-year increase in service contracts directly attributed to the escalating need for Biomedical Engineer expertise within France's sophisticated healthcare ecosystem.</w:t>
      </w:r>
    </w:p>
    <w:bookmarkEnd w:id="20"/>
    <w:bookmarkStart w:id="21" w:name="X854a7773ee99e0724b73768c792501cd10f459f"/>
    <w:p>
      <w:pPr>
        <w:pStyle w:val="Heading2"/>
      </w:pPr>
      <w:r>
        <w:t xml:space="preserve">II. Market Dynamics Driving Sales in France - Paris</w:t>
      </w:r>
    </w:p>
    <w:p>
      <w:pPr>
        <w:pStyle w:val="FirstParagraph"/>
      </w:pPr>
      <w:r>
        <w:t xml:space="preserve">The French healthcare system, characterized by its universal coverage and high-tech public hospitals, presents a uniquely fertile ground for Biomedical Engineering services. In Paris alone, the concentration of leading institutions like Assistance Publique-Hôpitaux de Paris (AP-HP), renowned university hospitals (e.g., Hôpital Pitié-Salpêtrière, Hôpital Necker-Enfants Malades), and biotech clusters creates an unparalleled demand environment. This Sales Report identifies three critical market drivers:</w:t>
      </w:r>
    </w:p>
    <w:p>
      <w:pPr>
        <w:numPr>
          <w:ilvl w:val="0"/>
          <w:numId w:val="1001"/>
        </w:numPr>
        <w:pStyle w:val="Compact"/>
      </w:pPr>
      <w:r>
        <w:rPr>
          <w:bCs/>
          <w:b/>
        </w:rPr>
        <w:t xml:space="preserve">Regulatory Evolution:</w:t>
      </w:r>
      <w:r>
        <w:t xml:space="preserve"> </w:t>
      </w:r>
      <w:r>
        <w:t xml:space="preserve">New French regulations (e.g., AMM - Autorisation de Mise sur le Marché) for medical device integration necessitate certified Biomedical Engineer support, directly boosting service sales.</w:t>
      </w:r>
    </w:p>
    <w:p>
      <w:pPr>
        <w:numPr>
          <w:ilvl w:val="0"/>
          <w:numId w:val="1001"/>
        </w:numPr>
        <w:pStyle w:val="Compact"/>
      </w:pPr>
      <w:r>
        <w:rPr>
          <w:bCs/>
          <w:b/>
        </w:rPr>
        <w:t xml:space="preserve">Digital Health Integration:</w:t>
      </w:r>
      <w:r>
        <w:t xml:space="preserve"> </w:t>
      </w:r>
      <w:r>
        <w:t xml:space="preserve">Parisian healthcare providers are rapidly implementing AI-driven diagnostics and connected medical devices, requiring ongoing Biomedical Engineer maintenance and optimization services.</w:t>
      </w:r>
    </w:p>
    <w:p>
      <w:pPr>
        <w:numPr>
          <w:ilvl w:val="0"/>
          <w:numId w:val="1001"/>
        </w:numPr>
        <w:pStyle w:val="Compact"/>
      </w:pPr>
      <w:r>
        <w:rPr>
          <w:bCs/>
          <w:b/>
        </w:rPr>
        <w:t xml:space="preserve">Talent Shortage:</w:t>
      </w:r>
      <w:r>
        <w:t xml:space="preserve"> </w:t>
      </w:r>
      <w:r>
        <w:t xml:space="preserve">France faces a critical deficit of 1,200+ qualified Biomedical Engineers (as per 2023 CNRS report), making outsourced expertise a strategic business imperative for Paris hospitals and MedTech firms.</w:t>
      </w:r>
    </w:p>
    <w:bookmarkEnd w:id="21"/>
    <w:bookmarkStart w:id="22" w:name="Xf7842767faf064fc8e66e900e963601b105e18d"/>
    <w:p>
      <w:pPr>
        <w:pStyle w:val="Heading2"/>
      </w:pPr>
      <w:r>
        <w:t xml:space="preserve">III. Q3 Sales Performance Highlights (France Paris Focus)</w:t>
      </w:r>
    </w:p>
    <w:p>
      <w:pPr>
        <w:pStyle w:val="FirstParagraph"/>
      </w:pPr>
      <w:r>
        <w:t xml:space="preserve">The Q3 period yielded exceptional results in our core France market, particularly within the Paris metropolitan zone. Key metrics include:</w:t>
      </w:r>
    </w:p>
    <w:p>
      <w:pPr>
        <w:pStyle w:val="BodyText"/>
      </w:pPr>
      <w:r>
        <w:t xml:space="preserve">Key Metric</w:t>
      </w:r>
    </w:p>
    <w:p>
      <w:pPr>
        <w:pStyle w:val="BodyText"/>
      </w:pPr>
      <w:r>
        <w:t xml:space="preserve">Q3 2023 (Paris Focus)</w:t>
      </w:r>
    </w:p>
    <w:p>
      <w:pPr>
        <w:pStyle w:val="BodyText"/>
      </w:pPr>
      <w:r>
        <w:t xml:space="preserve">YoY Change</w:t>
      </w:r>
    </w:p>
    <w:p>
      <w:pPr>
        <w:pStyle w:val="BodyText"/>
      </w:pPr>
      <w:r>
        <w:t xml:space="preserve">New Service Contracts Signed</w:t>
      </w:r>
    </w:p>
    <w:p>
      <w:pPr>
        <w:pStyle w:val="BodyText"/>
      </w:pPr>
      <w:r>
        <w:t xml:space="preserve">47</w:t>
      </w:r>
    </w:p>
    <w:p>
      <w:pPr>
        <w:pStyle w:val="BodyText"/>
      </w:pPr>
      <w:r>
        <w:t xml:space="preserve">+28%</w:t>
      </w:r>
    </w:p>
    <w:p>
      <w:pPr>
        <w:pStyle w:val="BodyText"/>
      </w:pPr>
      <w:r>
        <w:t xml:space="preserve">Average Contract Value (€)</w:t>
      </w:r>
    </w:p>
    <w:p>
      <w:pPr>
        <w:pStyle w:val="BodyText"/>
      </w:pPr>
      <w:r>
        <w:t xml:space="preserve">185,000</w:t>
      </w:r>
    </w:p>
    <w:p>
      <w:pPr>
        <w:pStyle w:val="BodyText"/>
      </w:pPr>
      <w:r>
        <w:t xml:space="preserve">+12%</w:t>
      </w:r>
    </w:p>
    <w:p>
      <w:pPr>
        <w:pStyle w:val="BodyText"/>
      </w:pPr>
      <w:r>
        <w:t xml:space="preserve">Client Acquisition Rate (Paris Hospitals)</w:t>
      </w:r>
    </w:p>
    <w:p>
      <w:pPr>
        <w:pStyle w:val="BodyText"/>
      </w:pPr>
      <w:r>
        <w:t xml:space="preserve">35%</w:t>
      </w:r>
    </w:p>
    <w:p>
      <w:pPr>
        <w:pStyle w:val="BodyText"/>
      </w:pPr>
      <w:r>
        <w:br/>
      </w:r>
      <w:r>
        <w:t xml:space="preserve">&gt;38% of all new clients in France were from Paris-based public hospitals or university-affiliated medical centers.</w:t>
      </w:r>
    </w:p>
    <w:bookmarkEnd w:id="22"/>
    <w:bookmarkStart w:id="23" w:name="Xd5fe9fa56b36c659f5c435b04114d8f4f2f14cd"/>
    <w:p>
      <w:pPr>
        <w:pStyle w:val="Heading2"/>
      </w:pPr>
      <w:r>
        <w:t xml:space="preserve">IV. Strategic Client Segmentation &amp; Sales Insights</w:t>
      </w:r>
    </w:p>
    <w:p>
      <w:pPr>
        <w:pStyle w:val="FirstParagraph"/>
      </w:pPr>
      <w:r>
        <w:t xml:space="preserve">This Sales Report identifies the most productive client segments within France, with Paris representing 68% of our total revenue growth:</w:t>
      </w:r>
    </w:p>
    <w:p>
      <w:pPr>
        <w:numPr>
          <w:ilvl w:val="0"/>
          <w:numId w:val="1002"/>
        </w:numPr>
        <w:pStyle w:val="Compact"/>
      </w:pPr>
      <w:r>
        <w:rPr>
          <w:bCs/>
          <w:b/>
        </w:rPr>
        <w:t xml:space="preserve">Public Healthcare Systems (AP-HP):</w:t>
      </w:r>
      <w:r>
        <w:t xml:space="preserve"> </w:t>
      </w:r>
      <w:r>
        <w:t xml:space="preserve">Highest value contracts. Demand surged for Biomedical Engineer teams supporting the national "Health Digital" initiative in Paris hospitals. Sales cycle averaged 5.2 months.</w:t>
      </w:r>
    </w:p>
    <w:p>
      <w:pPr>
        <w:numPr>
          <w:ilvl w:val="0"/>
          <w:numId w:val="1002"/>
        </w:numPr>
        <w:pStyle w:val="Compact"/>
      </w:pPr>
      <w:r>
        <w:rPr>
          <w:bCs/>
          <w:b/>
        </w:rPr>
        <w:t xml:space="preserve">MEDTECH Manufacturers:</w:t>
      </w:r>
      <w:r>
        <w:t xml:space="preserve"> </w:t>
      </w:r>
      <w:r>
        <w:t xml:space="preserve">Rapid growth segment in Paris (home to 38% of France's MedTech HQs). Focus on Biomedical Engineer services for device validation and clinical trials support. Average deal size €240,000.</w:t>
      </w:r>
    </w:p>
    <w:p>
      <w:pPr>
        <w:numPr>
          <w:ilvl w:val="0"/>
          <w:numId w:val="1002"/>
        </w:numPr>
        <w:pStyle w:val="Compact"/>
      </w:pPr>
      <w:r>
        <w:rPr>
          <w:bCs/>
          <w:b/>
        </w:rPr>
        <w:t xml:space="preserve">Private Medical Clusters:</w:t>
      </w:r>
      <w:r>
        <w:t xml:space="preserve"> </w:t>
      </w:r>
      <w:r>
        <w:t xml:space="preserve">Targeting high-end private hospitals near Paris (e.g., La Défense area) seeking premium Biomedical Engineer maintenance packages. 72% retention rate for these contracts.</w:t>
      </w:r>
    </w:p>
    <w:bookmarkEnd w:id="23"/>
    <w:bookmarkStart w:id="24" w:name="X07200f7e2f1c396b73ae6bc3d9988eefbe8237e"/>
    <w:p>
      <w:pPr>
        <w:pStyle w:val="Heading2"/>
      </w:pPr>
      <w:r>
        <w:t xml:space="preserve">V. Competitive Landscape &amp; Sales Differentiation in France</w:t>
      </w:r>
    </w:p>
    <w:p>
      <w:pPr>
        <w:pStyle w:val="FirstParagraph"/>
      </w:pPr>
      <w:r>
        <w:t xml:space="preserve">The Paris biomed engineering service market is highly competitive, with established players like SGS and Bureau Veritas. This Sales Report highlights our unique value proposition within France:</w:t>
      </w:r>
    </w:p>
    <w:p>
      <w:pPr>
        <w:numPr>
          <w:ilvl w:val="0"/>
          <w:numId w:val="1003"/>
        </w:numPr>
        <w:pStyle w:val="Compact"/>
      </w:pPr>
      <w:r>
        <w:rPr>
          <w:bCs/>
          <w:b/>
        </w:rPr>
        <w:t xml:space="preserve">Localized Expertise:</w:t>
      </w:r>
      <w:r>
        <w:t xml:space="preserve"> </w:t>
      </w:r>
      <w:r>
        <w:t xml:space="preserve">Our Paris-based sales team includes Biomedical Engineers fluent in French healthcare regulations (Haute Autorité de Santé standards) and hospital IT systems (e.g., CERISE, TESI).</w:t>
      </w:r>
    </w:p>
    <w:p>
      <w:pPr>
        <w:numPr>
          <w:ilvl w:val="0"/>
          <w:numId w:val="1003"/>
        </w:numPr>
        <w:pStyle w:val="Compact"/>
      </w:pPr>
      <w:r>
        <w:rPr>
          <w:bCs/>
          <w:b/>
        </w:rPr>
        <w:t xml:space="preserve">Paris Innovation Network Access:</w:t>
      </w:r>
      <w:r>
        <w:t xml:space="preserve"> </w:t>
      </w:r>
      <w:r>
        <w:t xml:space="preserve">Strategic partnerships with Paris-Saclay University and the BioValley cluster provide us access to cutting-edge R&amp;D, directly influencing our service offerings.</w:t>
      </w:r>
    </w:p>
    <w:p>
      <w:pPr>
        <w:numPr>
          <w:ilvl w:val="0"/>
          <w:numId w:val="1003"/>
        </w:numPr>
        <w:pStyle w:val="Compact"/>
      </w:pPr>
      <w:r>
        <w:rPr>
          <w:bCs/>
          <w:b/>
        </w:rPr>
        <w:t xml:space="preserve">Proven Local Success:</w:t>
      </w:r>
      <w:r>
        <w:t xml:space="preserve"> </w:t>
      </w:r>
      <w:r>
        <w:t xml:space="preserve">15+ successful implementations in AP-HP hospitals this year (including Hôpital Bicêtre), resulting in strong client testimonials for Paris-specific case studies.</w:t>
      </w:r>
    </w:p>
    <w:bookmarkEnd w:id="24"/>
    <w:bookmarkStart w:id="25" w:name="vi.-challenges-strategic-recommendations"/>
    <w:p>
      <w:pPr>
        <w:pStyle w:val="Heading2"/>
      </w:pPr>
      <w:r>
        <w:t xml:space="preserve">VI. Challenges &amp; Strategic Recommendations</w:t>
      </w:r>
    </w:p>
    <w:p>
      <w:pPr>
        <w:pStyle w:val="FirstParagraph"/>
      </w:pPr>
      <w:r>
        <w:t xml:space="preserve">While Q3 performance was strong, two challenges were identified:</w:t>
      </w:r>
    </w:p>
    <w:p>
      <w:pPr>
        <w:numPr>
          <w:ilvl w:val="0"/>
          <w:numId w:val="1004"/>
        </w:numPr>
        <w:pStyle w:val="Compact"/>
      </w:pPr>
      <w:r>
        <w:rPr>
          <w:bCs/>
          <w:b/>
        </w:rPr>
        <w:t xml:space="preserve">Talent Acquisition in Paris:</w:t>
      </w:r>
      <w:r>
        <w:t xml:space="preserve"> </w:t>
      </w:r>
      <w:r>
        <w:t xml:space="preserve">The 15% increase in Biomedical Engineer staff required for new contracts highlights the need for accelerated local recruitment. Recommendation: Partner with École Centrale Paris to establish a dedicated talent pipeline.</w:t>
      </w:r>
    </w:p>
    <w:p>
      <w:pPr>
        <w:numPr>
          <w:ilvl w:val="0"/>
          <w:numId w:val="1004"/>
        </w:numPr>
        <w:pStyle w:val="Compact"/>
      </w:pPr>
      <w:r>
        <w:rPr>
          <w:bCs/>
          <w:b/>
        </w:rPr>
        <w:t xml:space="preserve">Regulatory Complexity:</w:t>
      </w:r>
      <w:r>
        <w:t xml:space="preserve"> </w:t>
      </w:r>
      <w:r>
        <w:t xml:space="preserve">French medical device compliance requires constant adaptation. Recommendation: Develop a specialized "French Regulatory Compliance Package" as part of our Biomedical Engineer service offering.</w:t>
      </w:r>
    </w:p>
    <w:p>
      <w:pPr>
        <w:pStyle w:val="FirstParagraph"/>
      </w:pPr>
      <w:r>
        <w:t xml:space="preserve">This Sales Report concludes that the Paris market for Biomedical Engineering services remains exceptionally strong and strategically vital to our overall growth in France. The convergence of regulatory requirements, digital health transformation, and infrastructure modernization within Paris hospitals creates a sustained demand curve we are well-positioned to capture. Our investment in localized sales resources and technical expertise is yielding measurable returns, as evidenced by the 22% YoY revenue growth directly linked to Biomedical Engineer services in our France operations.</w:t>
      </w:r>
    </w:p>
    <w:bookmarkEnd w:id="25"/>
    <w:bookmarkStart w:id="26" w:name="vii.-conclusion"/>
    <w:p>
      <w:pPr>
        <w:pStyle w:val="Heading2"/>
      </w:pPr>
      <w:r>
        <w:t xml:space="preserve">VII. Conclusion</w:t>
      </w:r>
    </w:p>
    <w:p>
      <w:pPr>
        <w:pStyle w:val="FirstParagraph"/>
      </w:pPr>
      <w:r>
        <w:t xml:space="preserve">The Sales Report confirms that Biomedical Engineers are no longer merely technicians but strategic assets within France's healthcare value chain, particularly in Paris. This city's status as Europe's premier medical innovation center amplifies the demand for our specialized services. We recommend maintaining and increasing our sales focus on Parisian hospital networks and MedTech firms, while proactively addressing the talent gap through localized recruitment initiatives. Continued success in this market will position us as the preferred Biomedical Engineering partner across France, with Paris serving as the critical launchpad for national expansion. Our strategic emphasis on France Paris is not merely geographical—it's a recognition of where healthcare innovation is happening today and where our future revenue streams are most likely to grow.</w:t>
      </w:r>
    </w:p>
    <w:p>
      <w:pPr>
        <w:pStyle w:val="BodyText"/>
      </w:pPr>
      <w:r>
        <w:rPr>
          <w:bCs/>
          <w:b/>
        </w:rPr>
        <w:t xml:space="preserve">Report Prepared By:</w:t>
      </w:r>
      <w:r>
        <w:t xml:space="preserve"> </w:t>
      </w:r>
      <w:r>
        <w:t xml:space="preserve">Global Sales Strategy Division</w:t>
      </w:r>
      <w:r>
        <w:br/>
      </w:r>
      <w:r>
        <w:rPr>
          <w:bCs/>
          <w:b/>
        </w:rPr>
        <w:t xml:space="preserve">Contact:</w:t>
      </w:r>
      <w:r>
        <w:t xml:space="preserve"> </w:t>
      </w:r>
      <w:r>
        <w:t xml:space="preserve">sales.strategy@biomedsales.fr (Paris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Market Analysis - France Paris</dc:title>
  <dc:creator/>
  <dc:language>en</dc:language>
  <cp:keywords/>
  <dcterms:created xsi:type="dcterms:W3CDTF">2026-07-21T08:18:38Z</dcterms:created>
  <dcterms:modified xsi:type="dcterms:W3CDTF">2026-07-21T08:18:38Z</dcterms:modified>
</cp:coreProperties>
</file>

<file path=docProps/custom.xml><?xml version="1.0" encoding="utf-8"?>
<Properties xmlns="http://schemas.openxmlformats.org/officeDocument/2006/custom-properties" xmlns:vt="http://schemas.openxmlformats.org/officeDocument/2006/docPropsVTypes"/>
</file>