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Indonesia</w:t>
      </w:r>
      <w:r>
        <w:t xml:space="preserve"> </w:t>
      </w:r>
      <w:r>
        <w:t xml:space="preserve">Jakarta</w:t>
      </w:r>
      <w:r>
        <w:t xml:space="preserve"> </w:t>
      </w:r>
      <w:r>
        <w:t xml:space="preserve">Market</w:t>
      </w:r>
    </w:p>
    <w:bookmarkStart w:id="33" w:name="X15e3ac91937e004a828947dcf6cbfb885ef5587"/>
    <w:p>
      <w:pPr>
        <w:pStyle w:val="Heading1"/>
      </w:pPr>
      <w:r>
        <w:t xml:space="preserve">Biomedical Engineer Sales Performance Report: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&amp; Board of Directors</w:t>
      </w:r>
      <w:r>
        <w:br/>
      </w:r>
      <w:r>
        <w:rPr>
          <w:bCs/>
          <w:b/>
        </w:rPr>
        <w:t xml:space="preserve">Prepared By:</w:t>
      </w:r>
      <w:r>
        <w:t xml:space="preserve"> </w:t>
      </w:r>
      <w:r>
        <w:t xml:space="preserve">Sales Strategy Division, Southeast Asia Operations</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initiatives of our Biomedical Engineer team operating within Indonesia Jakarta. As the economic and healthcare hub of Southeast Asia, Jakarta represents a critical growth frontier for biomedical technology adoption. The Q3 2023 results demonstrate a 28% year-over-year increase in sales revenue ($1.85M) driven by strategic deployment of certified Biomedical Engineers across public and private healthcare institutions. This report underscores how our specialized Biomedical Engineer workforce directly addresses Indonesia Jakarta's urgent need for medical device maintenance, regulatory compliance, and technological modernization.</w:t>
      </w:r>
    </w:p>
    <w:bookmarkEnd w:id="20"/>
    <w:bookmarkStart w:id="21" w:name="X73ebf6a54bb7a7202558e04b1801fe00338759f"/>
    <w:p>
      <w:pPr>
        <w:pStyle w:val="Heading2"/>
      </w:pPr>
      <w:r>
        <w:t xml:space="preserve">II. Market Context: Indonesia Jakarta Healthcare Landscape</w:t>
      </w:r>
    </w:p>
    <w:p>
      <w:pPr>
        <w:pStyle w:val="FirstParagraph"/>
      </w:pPr>
      <w:r>
        <w:t xml:space="preserve">Indonesia Jakarta faces a critical healthcare infrastructure gap—only 1.9 hospital beds per 1,000 residents against the WHO recommended 3.5 (World Bank, 2023). With Jakarta's population exceeding 10 million and aging medical equipment in over 65% of public hospitals (Ministry of Health Indonesia), demand for skilled Biomedical Engineers has surged. The Indonesian government's "National Health Insurance" expansion (BPJS Kesehatan) has further accelerated procurement of diagnostic imaging systems, patient monitoring devices, and telemedicine infrastructure. This creates an unprecedented opportunity for our Biomedical Engineer sales force to deliver localized solutions that align with Jakarta's healthcare digitization roadmap.</w:t>
      </w:r>
    </w:p>
    <w:bookmarkEnd w:id="21"/>
    <w:bookmarkStart w:id="24" w:name="Xcc459587b4b2c27b4b319ce211d59c72631be67"/>
    <w:p>
      <w:pPr>
        <w:pStyle w:val="Heading2"/>
      </w:pPr>
      <w:r>
        <w:t xml:space="preserve">III. Sales Performance Highlights: Q3 2023</w:t>
      </w:r>
    </w:p>
    <w:bookmarkStart w:id="22" w:name="a.-revenue-metrics"/>
    <w:p>
      <w:pPr>
        <w:pStyle w:val="Heading3"/>
      </w:pPr>
      <w:r>
        <w:t xml:space="preserve">A. Revenue Metrics</w:t>
      </w:r>
    </w:p>
    <w:p>
      <w:pPr>
        <w:numPr>
          <w:ilvl w:val="0"/>
          <w:numId w:val="1001"/>
        </w:numPr>
        <w:pStyle w:val="Compact"/>
      </w:pPr>
      <w:r>
        <w:rPr>
          <w:bCs/>
          <w:b/>
        </w:rPr>
        <w:t xml:space="preserve">Total Sales Revenue:</w:t>
      </w:r>
      <w:r>
        <w:t xml:space="preserve"> </w:t>
      </w:r>
      <w:r>
        <w:t xml:space="preserve">$1.85M (↑ 28% YoY, ↑ 14% QoQ)</w:t>
      </w:r>
    </w:p>
    <w:p>
      <w:pPr>
        <w:numPr>
          <w:ilvl w:val="0"/>
          <w:numId w:val="1001"/>
        </w:numPr>
        <w:pStyle w:val="Compact"/>
      </w:pPr>
      <w:r>
        <w:rPr>
          <w:bCs/>
          <w:b/>
        </w:rPr>
        <w:t xml:space="preserve">New Client Acquisition:</w:t>
      </w:r>
      <w:r>
        <w:t xml:space="preserve"> </w:t>
      </w:r>
      <w:r>
        <w:t xml:space="preserve">37 hospitals/clinics (including Jakarta General Hospital &amp; Siloam Hospitals Group)</w:t>
      </w:r>
    </w:p>
    <w:p>
      <w:pPr>
        <w:numPr>
          <w:ilvl w:val="0"/>
          <w:numId w:val="1001"/>
        </w:numPr>
        <w:pStyle w:val="Compact"/>
      </w:pPr>
      <w:r>
        <w:rPr>
          <w:bCs/>
          <w:b/>
        </w:rPr>
        <w:t xml:space="preserve">Cross-Sell Rate:</w:t>
      </w:r>
      <w:r>
        <w:t xml:space="preserve"> </w:t>
      </w:r>
      <w:r>
        <w:t xml:space="preserve">62% (Biomedical Engineer service contracts driving additional device sales)</w:t>
      </w:r>
    </w:p>
    <w:bookmarkEnd w:id="22"/>
    <w:bookmarkStart w:id="23" w:name="X86edbd604c49d233625ae31ac68bcd8ec3941bb"/>
    <w:p>
      <w:pPr>
        <w:pStyle w:val="Heading3"/>
      </w:pPr>
      <w:r>
        <w:t xml:space="preserve">B. Key Achievement: Biomedical Engineer Deployment Strategy</w:t>
      </w:r>
    </w:p>
    <w:p>
      <w:pPr>
        <w:pStyle w:val="FirstParagraph"/>
      </w:pPr>
      <w:r>
        <w:t xml:space="preserve">Our Jakarta-based Biomedical Engineer team—comprising 15 certified professionals (80% local Indonesian hires with ASEAN certifications)—achieved 92% on-time maintenance response rates for critical medical equipment. This directly contributed to:</w:t>
      </w:r>
    </w:p>
    <w:p>
      <w:pPr>
        <w:numPr>
          <w:ilvl w:val="0"/>
          <w:numId w:val="1002"/>
        </w:numPr>
        <w:pStyle w:val="Compact"/>
      </w:pPr>
      <w:r>
        <w:rPr>
          <w:bCs/>
          <w:b/>
        </w:rPr>
        <w:t xml:space="preserve">Reduced Downtime:</w:t>
      </w:r>
      <w:r>
        <w:t xml:space="preserve"> </w:t>
      </w:r>
      <w:r>
        <w:t xml:space="preserve">Average device repair time decreased from 72 to 18 hours</w:t>
      </w:r>
    </w:p>
    <w:p>
      <w:pPr>
        <w:numPr>
          <w:ilvl w:val="0"/>
          <w:numId w:val="1002"/>
        </w:numPr>
        <w:pStyle w:val="Compact"/>
      </w:pPr>
      <w:r>
        <w:rPr>
          <w:bCs/>
          <w:b/>
        </w:rPr>
        <w:t xml:space="preserve">Client Retention:</w:t>
      </w:r>
      <w:r>
        <w:t xml:space="preserve"> </w:t>
      </w:r>
      <w:r>
        <w:t xml:space="preserve">94% contract renewal rate among existing hospital partners</w:t>
      </w:r>
    </w:p>
    <w:p>
      <w:pPr>
        <w:numPr>
          <w:ilvl w:val="0"/>
          <w:numId w:val="1002"/>
        </w:numPr>
        <w:pStyle w:val="Compact"/>
      </w:pPr>
      <w:r>
        <w:rPr>
          <w:bCs/>
          <w:b/>
        </w:rPr>
        <w:t xml:space="preserve">Clinical Impact:</w:t>
      </w:r>
      <w:r>
        <w:t xml:space="preserve"> </w:t>
      </w:r>
      <w:r>
        <w:t xml:space="preserve">Partner hospitals reported 30% fewer emergency equipment failures during Q3</w:t>
      </w:r>
    </w:p>
    <w:bookmarkEnd w:id="23"/>
    <w:bookmarkEnd w:id="24"/>
    <w:bookmarkStart w:id="27" w:name="X19135f004687299fb98c00bbb6b7138aecc5019"/>
    <w:p>
      <w:pPr>
        <w:pStyle w:val="Heading2"/>
      </w:pPr>
      <w:r>
        <w:t xml:space="preserve">IV. Jakarta-Specific Market Challenges &amp; Solutions</w:t>
      </w:r>
    </w:p>
    <w:bookmarkStart w:id="25" w:name="a.-regulatory-compliance-hurdles"/>
    <w:p>
      <w:pPr>
        <w:pStyle w:val="Heading3"/>
      </w:pPr>
      <w:r>
        <w:t xml:space="preserve">A. Regulatory Compliance Hurdles</w:t>
      </w:r>
    </w:p>
    <w:p>
      <w:pPr>
        <w:pStyle w:val="FirstParagraph"/>
      </w:pPr>
      <w:r>
        <w:rPr>
          <w:iCs/>
          <w:i/>
        </w:rPr>
        <w:t xml:space="preserve">Challenge:</w:t>
      </w:r>
      <w:r>
        <w:t xml:space="preserve"> </w:t>
      </w:r>
      <w:r>
        <w:t xml:space="preserve">Indonesia's BPOM (Badan Pengawas Obat dan Makanan) regulations require all Biomedical Engineers to undergo local certification within 18 months of employment. Non-compliance risks 40% contract termination.</w:t>
      </w:r>
    </w:p>
    <w:p>
      <w:pPr>
        <w:pStyle w:val="BodyText"/>
      </w:pPr>
      <w:r>
        <w:rPr>
          <w:iCs/>
          <w:i/>
        </w:rPr>
        <w:t xml:space="preserve">Solution:</w:t>
      </w:r>
      <w:r>
        <w:t xml:space="preserve"> </w:t>
      </w:r>
      <w:r>
        <w:t xml:space="preserve">Our Jakarta Sales Report team implemented a "Regulatory Acceleration Program" with Dharmais Medical Academy, achieving 100% BPOM certification for all engineers within Q2 2023. This eliminated compliance-related sales delays and became a key selling point in proposals.</w:t>
      </w:r>
    </w:p>
    <w:bookmarkEnd w:id="25"/>
    <w:bookmarkStart w:id="26" w:name="b.-cultural-adaptation-in-sales-approach"/>
    <w:p>
      <w:pPr>
        <w:pStyle w:val="Heading3"/>
      </w:pPr>
      <w:r>
        <w:t xml:space="preserve">B. Cultural Adaptation in Sales Approach</w:t>
      </w:r>
    </w:p>
    <w:p>
      <w:pPr>
        <w:pStyle w:val="FirstParagraph"/>
      </w:pPr>
      <w:r>
        <w:rPr>
          <w:iCs/>
          <w:i/>
        </w:rPr>
        <w:t xml:space="preserve">Challenge:</w:t>
      </w:r>
      <w:r>
        <w:t xml:space="preserve"> </w:t>
      </w:r>
      <w:r>
        <w:t xml:space="preserve">Traditional Western sales pitches failed with Jakarta healthcare procurement committees (often family-owned institutions valuing relationship over data).</w:t>
      </w:r>
    </w:p>
    <w:p>
      <w:pPr>
        <w:pStyle w:val="BodyText"/>
      </w:pPr>
      <w:r>
        <w:rPr>
          <w:iCs/>
          <w:i/>
        </w:rPr>
        <w:t xml:space="preserve">Solution:</w:t>
      </w:r>
      <w:r>
        <w:t xml:space="preserve"> </w:t>
      </w:r>
      <w:r>
        <w:t xml:space="preserve">Biomedical Engineer field representatives were trained in "Kebajikan" (Indonesian business etiquette) and now conduct monthly community health workshops at partner hospitals. This strategy increased proposal acceptance by 45% and positioned us as trusted healthcare partners—not just vendors.</w:t>
      </w:r>
    </w:p>
    <w:bookmarkEnd w:id="26"/>
    <w:bookmarkEnd w:id="27"/>
    <w:bookmarkStart w:id="30" w:name="X03a8674ce2accac113b1f65ab059ce286d74e66"/>
    <w:p>
      <w:pPr>
        <w:pStyle w:val="Heading2"/>
      </w:pPr>
      <w:r>
        <w:t xml:space="preserve">V. Strategic Growth Initiatives for Indonesia Jakarta</w:t>
      </w:r>
    </w:p>
    <w:bookmarkStart w:id="28" w:name="a.-targeted-service-expansion"/>
    <w:p>
      <w:pPr>
        <w:pStyle w:val="Heading3"/>
      </w:pPr>
      <w:r>
        <w:t xml:space="preserve">A. Targeted Service Expansion</w:t>
      </w:r>
    </w:p>
    <w:p>
      <w:pPr>
        <w:pStyle w:val="FirstParagraph"/>
      </w:pPr>
      <w:r>
        <w:t xml:space="preserve">Based on our Sales Report analysis, we're launching "Jakarta Health Tech Access" in Q1 2024—a tiered service model for mid-tier hospitals:</w:t>
      </w:r>
    </w:p>
    <w:p>
      <w:pPr>
        <w:numPr>
          <w:ilvl w:val="0"/>
          <w:numId w:val="1003"/>
        </w:numPr>
        <w:pStyle w:val="Compact"/>
      </w:pPr>
      <w:r>
        <w:rPr>
          <w:bCs/>
          <w:b/>
        </w:rPr>
        <w:t xml:space="preserve">Premium Tier:</w:t>
      </w:r>
      <w:r>
        <w:t xml:space="preserve"> </w:t>
      </w:r>
      <w:r>
        <w:t xml:space="preserve">Full Biomedical Engineer coverage (5 engineers/hospital) → $38K/year</w:t>
      </w:r>
    </w:p>
    <w:p>
      <w:pPr>
        <w:numPr>
          <w:ilvl w:val="0"/>
          <w:numId w:val="1003"/>
        </w:numPr>
        <w:pStyle w:val="Compact"/>
      </w:pPr>
      <w:r>
        <w:rPr>
          <w:bCs/>
          <w:b/>
        </w:rPr>
        <w:t xml:space="preserve">Essential Tier:</w:t>
      </w:r>
      <w:r>
        <w:t xml:space="preserve"> </w:t>
      </w:r>
      <w:r>
        <w:t xml:space="preserve">Remote diagnostics + on-demand engineer visits → $15K/year</w:t>
      </w:r>
    </w:p>
    <w:p>
      <w:pPr>
        <w:numPr>
          <w:ilvl w:val="0"/>
          <w:numId w:val="1003"/>
        </w:numPr>
        <w:pStyle w:val="Compact"/>
      </w:pPr>
      <w:r>
        <w:rPr>
          <w:bCs/>
          <w:b/>
        </w:rPr>
        <w:t xml:space="preserve">Sustainability Focus:</w:t>
      </w:r>
      <w:r>
        <w:t xml:space="preserve"> </w:t>
      </w:r>
      <w:r>
        <w:t xml:space="preserve">All contracts include 20% service fees allocated to Jakarta community health education programs</w:t>
      </w:r>
    </w:p>
    <w:bookmarkEnd w:id="28"/>
    <w:bookmarkStart w:id="29" w:name="X528c5c6600754fe377badd1838c3813b704743d"/>
    <w:p>
      <w:pPr>
        <w:pStyle w:val="Heading3"/>
      </w:pPr>
      <w:r>
        <w:t xml:space="preserve">B. Technology Integration for Competitive Edge</w:t>
      </w:r>
    </w:p>
    <w:p>
      <w:pPr>
        <w:pStyle w:val="FirstParagraph"/>
      </w:pPr>
      <w:r>
        <w:t xml:space="preserve">We've piloted IoT-enabled remote monitoring in 12 Jakarta hospitals (using Biomedical Engineer-developed mobile apps). This allows real-time equipment diagnostics and predictive maintenance, reducing emergency calls by 58%. The solution is now a cornerstone of our Jakarta sales pitch, directly linking engineer expertise to hospital operational savings.</w:t>
      </w:r>
    </w:p>
    <w:bookmarkEnd w:id="29"/>
    <w:bookmarkEnd w:id="30"/>
    <w:bookmarkStart w:id="31" w:name="X5001dced9101e9ec18e087d43384d5a12026dbb"/>
    <w:p>
      <w:pPr>
        <w:pStyle w:val="Heading2"/>
      </w:pPr>
      <w:r>
        <w:t xml:space="preserve">VI. Future Outlook: Indonesia Jakarta Market Potential</w:t>
      </w:r>
    </w:p>
    <w:p>
      <w:pPr>
        <w:pStyle w:val="FirstParagraph"/>
      </w:pPr>
      <w:r>
        <w:t xml:space="preserve">Indonesia's medical device market will grow to $5.2B by 2025 (Statista), with Jakarta capturing 41% of national demand. Our Biomedical Engineer sales strategy positions us for dominant market share through:</w:t>
      </w:r>
    </w:p>
    <w:p>
      <w:pPr>
        <w:numPr>
          <w:ilvl w:val="0"/>
          <w:numId w:val="1004"/>
        </w:numPr>
        <w:pStyle w:val="Compact"/>
      </w:pPr>
      <w:r>
        <w:rPr>
          <w:bCs/>
          <w:b/>
        </w:rPr>
        <w:t xml:space="preserve">Government Partnership:</w:t>
      </w:r>
      <w:r>
        <w:t xml:space="preserve"> </w:t>
      </w:r>
      <w:r>
        <w:t xml:space="preserve">Bid for Ministry of Health's "Digital Hospital" initiative (budget: $87M)</w:t>
      </w:r>
    </w:p>
    <w:p>
      <w:pPr>
        <w:numPr>
          <w:ilvl w:val="0"/>
          <w:numId w:val="1004"/>
        </w:numPr>
        <w:pStyle w:val="Compact"/>
      </w:pPr>
      <w:r>
        <w:rPr>
          <w:bCs/>
          <w:b/>
        </w:rPr>
        <w:t xml:space="preserve">Talent Pipeline Development:</w:t>
      </w:r>
      <w:r>
        <w:t xml:space="preserve"> </w:t>
      </w:r>
      <w:r>
        <w:t xml:space="preserve">Collaborating with Universitas Indonesia to establish Jakarta's first Biomedical Engineering certification center</w:t>
      </w:r>
    </w:p>
    <w:p>
      <w:pPr>
        <w:numPr>
          <w:ilvl w:val="0"/>
          <w:numId w:val="1004"/>
        </w:numPr>
        <w:pStyle w:val="Compact"/>
      </w:pPr>
      <w:r>
        <w:rPr>
          <w:bCs/>
          <w:b/>
        </w:rPr>
        <w:t xml:space="preserve">Sustainability Certification:</w:t>
      </w:r>
      <w:r>
        <w:t xml:space="preserve"> </w:t>
      </w:r>
      <w:r>
        <w:t xml:space="preserve">Aligning services with Indonesia's 2030 carbon neutrality goals (e.g., energy-efficient equipment maintenance)</w:t>
      </w:r>
    </w:p>
    <w:bookmarkEnd w:id="31"/>
    <w:bookmarkStart w:id="32" w:name="vii.-conclusion-the-jakarta-advantage"/>
    <w:p>
      <w:pPr>
        <w:pStyle w:val="Heading2"/>
      </w:pPr>
      <w:r>
        <w:t xml:space="preserve">VII. Conclusion: The Jakarta Advantage</w:t>
      </w:r>
    </w:p>
    <w:p>
      <w:pPr>
        <w:pStyle w:val="FirstParagraph"/>
      </w:pPr>
      <w:r>
        <w:t xml:space="preserve">This Sales Report confirms that Jakarta's biomedical engineering market is no longer merely a sales territory—it's a strategic imperative for our global growth. Our specialized Biomedical Engineer team has transformed from service providers to healthcare ecosystem partners, directly addressing Indonesia Jakarta's dual challenges of infrastructure modernization and regulatory complexity. The 28% revenue growth isn't accidental; it stems from embedding local talent with indigenous market intelligence into every sales cycle.</w:t>
      </w:r>
    </w:p>
    <w:p>
      <w:pPr>
        <w:pStyle w:val="BodyText"/>
      </w:pPr>
      <w:r>
        <w:t xml:space="preserve">As we scale operations across Indonesia Jakarta, our commitment remains clear: Every Biomedical Engineer contract delivered is a step toward reducing healthcare disparities in one of Southeast Asia's most dynamic urban centers. The future belongs to those who solve Jakarta's unique challenges—not just sell products. We are that partner.</w:t>
      </w:r>
    </w:p>
    <w:p>
      <w:pPr>
        <w:pStyle w:val="BodyText"/>
      </w:pPr>
      <w:r>
        <w:rPr>
          <w:bCs/>
          <w:b/>
        </w:rPr>
        <w:t xml:space="preserve">Appendix:</w:t>
      </w:r>
      <w:r>
        <w:t xml:space="preserve"> </w:t>
      </w:r>
      <w:r>
        <w:t xml:space="preserve">Key Metrics Dashboard (Available Upon Request)</w:t>
      </w:r>
    </w:p>
    <w:p>
      <w:r>
        <w:pict>
          <v:rect style="width:0;height:1.5pt" o:hralign="center" o:hrstd="t" o:hr="t"/>
        </w:pict>
      </w:r>
    </w:p>
    <w:p>
      <w:pPr>
        <w:pStyle w:val="FirstParagraph"/>
      </w:pPr>
      <w:r>
        <w:rPr>
          <w:iCs/>
          <w:i/>
        </w:rPr>
        <w:t xml:space="preserve">This Sales Report complies with Indonesia National Standard SNI ISO 9001:2015 for quality management systems. All data verified by Jakarta Office Audit Team, Ministry of Health Indonesia.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Performance Report: Indonesia Jakarta Market</dc:title>
  <dc:creator/>
  <dc:language>en</dc:language>
  <cp:keywords/>
  <dcterms:created xsi:type="dcterms:W3CDTF">2026-07-23T08:57:20Z</dcterms:created>
  <dcterms:modified xsi:type="dcterms:W3CDTF">2026-07-23T08:57:20Z</dcterms:modified>
</cp:coreProperties>
</file>

<file path=docProps/custom.xml><?xml version="1.0" encoding="utf-8"?>
<Properties xmlns="http://schemas.openxmlformats.org/officeDocument/2006/custom-properties" xmlns:vt="http://schemas.openxmlformats.org/officeDocument/2006/docPropsVTypes"/>
</file>