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Kyoto</w:t>
      </w:r>
      <w:r>
        <w:t xml:space="preserve"> </w:t>
      </w:r>
      <w:r>
        <w:t xml:space="preserve">Healthcare</w:t>
      </w:r>
      <w:r>
        <w:t xml:space="preserve"> </w:t>
      </w:r>
      <w:r>
        <w:t xml:space="preserve">Market</w:t>
      </w:r>
    </w:p>
    <w:bookmarkStart w:id="27" w:name="X48595f6f620ff2cc77a91c424cb6840a0ed9673"/>
    <w:p>
      <w:pPr>
        <w:pStyle w:val="Heading1"/>
      </w:pPr>
      <w:r>
        <w:t xml:space="preserve">Quarterly Sales Report: Biomedical Engineering Advancement in Japan Kyoto (Q3 2024)</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2024</w:t>
      </w:r>
      <w:r>
        <w:br/>
      </w:r>
      <w:r>
        <w:rPr>
          <w:bCs/>
          <w:b/>
        </w:rPr>
        <w:t xml:space="preserve">Prepared By:</w:t>
      </w:r>
      <w:r>
        <w:t xml:space="preserve"> </w:t>
      </w:r>
      <w:r>
        <w:t xml:space="preserve">Strategic Market Intelligence &amp; Sales Development Team</w:t>
      </w:r>
    </w:p>
    <w:bookmarkStart w:id="20" w:name="i.-executive-summary"/>
    <w:p>
      <w:pPr>
        <w:pStyle w:val="Heading2"/>
      </w:pPr>
      <w:r>
        <w:t xml:space="preserve">I. Executive Summary</w:t>
      </w:r>
    </w:p>
    <w:p>
      <w:pPr>
        <w:pStyle w:val="FirstParagraph"/>
      </w:pPr>
      <w:r>
        <w:t xml:space="preserve">This report details the strategic sales performance and market opportunity for Biomedical Engineering services within Kyoto, Japan. The Kyoto healthcare ecosystem presents a uniquely compelling environment for Biomedical Engineer deployment due to its aging demographic, world-class medical institutions, and strong governmental support for health-tech innovation. Q3 2024 sales in the Kyoto region exceeded targets by 18%, driven by targeted solutions addressing local healthcare challenges. This report confirms that Biomedical Engineering is not merely a technical necessity but a critical growth driver for healthcare providers across Japan Kyoto.</w:t>
      </w:r>
    </w:p>
    <w:bookmarkEnd w:id="20"/>
    <w:bookmarkStart w:id="21" w:name="X3622fe856c8d21ed76cf98d66a6aa01d000de94"/>
    <w:p>
      <w:pPr>
        <w:pStyle w:val="Heading2"/>
      </w:pPr>
      <w:r>
        <w:t xml:space="preserve">II. Market Context: Why Kyoto, Japan is Prime Territory</w:t>
      </w:r>
    </w:p>
    <w:p>
      <w:pPr>
        <w:pStyle w:val="FirstParagraph"/>
      </w:pPr>
      <w:r>
        <w:t xml:space="preserve">Japan's demographic reality—where 30% of the population is aged 65+—is acutely felt in Kyoto. The city's senior population rate (34.7%) surpasses the national average, creating urgent demand for advanced medical devices, telehealth platforms, and personalized monitoring systems. Crucially, Kyoto hosts premier institutions like Kyoto University Hospital (ranked #1 in Kansai for medical innovation), the Institute of Medical Science at Kyoto University, and numerous specialized clinics deeply invested in R&amp;D. This concentration of expertise makes Japan Kyoto a strategic launchpad for Biomedical Engineer solutions. Our sales data confirms that 76% of healthcare providers in Kyoto cite "aging population management" as their top priority—directly aligning with Biomedical Engineer capabilities.</w:t>
      </w:r>
    </w:p>
    <w:bookmarkEnd w:id="21"/>
    <w:bookmarkStart w:id="22" w:name="X2c74f4969349fb05c923ddaf3676772c40bab10"/>
    <w:p>
      <w:pPr>
        <w:pStyle w:val="Heading2"/>
      </w:pPr>
      <w:r>
        <w:t xml:space="preserve">III. Key Sales Performance &amp; Market Penetration (Kyoto Focus)</w:t>
      </w:r>
    </w:p>
    <w:p>
      <w:pPr>
        <w:pStyle w:val="FirstParagraph"/>
      </w:pPr>
      <w:r>
        <w:rPr>
          <w:bCs/>
          <w:b/>
        </w:rPr>
        <w:t xml:space="preserve">Q3 2024 Highlights:</w:t>
      </w:r>
    </w:p>
    <w:p>
      <w:pPr>
        <w:numPr>
          <w:ilvl w:val="0"/>
          <w:numId w:val="1001"/>
        </w:numPr>
        <w:pStyle w:val="Compact"/>
      </w:pPr>
      <w:r>
        <w:rPr>
          <w:bCs/>
          <w:b/>
        </w:rPr>
        <w:t xml:space="preserve">Revenue Growth:</w:t>
      </w:r>
      <w:r>
        <w:t xml:space="preserve"> </w:t>
      </w:r>
      <w:r>
        <w:t xml:space="preserve">¥18.7 million (18% above target), driven by 15 new institutional contracts in Kyoto.</w:t>
      </w:r>
    </w:p>
    <w:p>
      <w:pPr>
        <w:numPr>
          <w:ilvl w:val="0"/>
          <w:numId w:val="1001"/>
        </w:numPr>
        <w:pStyle w:val="Compact"/>
      </w:pPr>
      <w:r>
        <w:rPr>
          <w:bCs/>
          <w:b/>
        </w:rPr>
        <w:t xml:space="preserve">New Client Acquisition:</w:t>
      </w:r>
      <w:r>
        <w:t xml:space="preserve"> </w:t>
      </w:r>
      <w:r>
        <w:t xml:space="preserve">4 major hospitals and 2 regional health networks onboarded, including Kyoto Prefectural Hospital and Shiga Medical Center (serving Kyoto's rural satellite areas).</w:t>
      </w:r>
    </w:p>
    <w:p>
      <w:pPr>
        <w:numPr>
          <w:ilvl w:val="0"/>
          <w:numId w:val="1001"/>
        </w:numPr>
        <w:pStyle w:val="Compact"/>
      </w:pPr>
      <w:r>
        <w:rPr>
          <w:bCs/>
          <w:b/>
        </w:rPr>
        <w:t xml:space="preserve">Solution Adoption:</w:t>
      </w:r>
      <w:r>
        <w:t xml:space="preserve"> </w:t>
      </w:r>
      <w:r>
        <w:t xml:space="preserve">92% of new contracts involved Biomedical Engineer-led system integrations (e.g., AI-powered diagnostic tools, wearable patient monitors), up from 78% in Q2.</w:t>
      </w:r>
    </w:p>
    <w:p>
      <w:pPr>
        <w:numPr>
          <w:ilvl w:val="0"/>
          <w:numId w:val="1001"/>
        </w:numPr>
        <w:pStyle w:val="Compact"/>
      </w:pPr>
      <w:r>
        <w:rPr>
          <w:bCs/>
          <w:b/>
        </w:rPr>
        <w:t xml:space="preserve">Cross-Selling Success:</w:t>
      </w:r>
      <w:r>
        <w:t xml:space="preserve"> </w:t>
      </w:r>
      <w:r>
        <w:t xml:space="preserve">Biomedical Engineer services increased average deal size by 34%, as clients recognized the value beyond basic device installation.</w:t>
      </w:r>
    </w:p>
    <w:p>
      <w:pPr>
        <w:pStyle w:val="FirstParagraph"/>
      </w:pPr>
      <w:r>
        <w:t xml:space="preserve">Our Kyoto sales team observed a distinct preference among local providers: they prioritize partners whose Biomedical Engineers possess deep understanding of Japanese healthcare protocols (e.g., PMDA approval processes, Japan's national health insurance coding) and respect for regional clinical workflows. This insight directly shaped our Q3 sales strategy.</w:t>
      </w:r>
    </w:p>
    <w:bookmarkEnd w:id="22"/>
    <w:bookmarkStart w:id="23" w:name="X1c2162a3b2cfb92376b20e7d50093533a5f14f0"/>
    <w:p>
      <w:pPr>
        <w:pStyle w:val="Heading2"/>
      </w:pPr>
      <w:r>
        <w:t xml:space="preserve">IV. Biomedical Engineer: The Catalyst for Sales Success in Kyoto</w:t>
      </w:r>
    </w:p>
    <w:p>
      <w:pPr>
        <w:pStyle w:val="FirstParagraph"/>
      </w:pPr>
      <w:r>
        <w:t xml:space="preserve">The role of the Biomedical Engineer transcends technical support in Japan Kyoto; they are strategic sales partners. In this market, successful deployment hinges on cultural and operational alignment:</w:t>
      </w:r>
    </w:p>
    <w:p>
      <w:pPr>
        <w:numPr>
          <w:ilvl w:val="0"/>
          <w:numId w:val="1002"/>
        </w:numPr>
        <w:pStyle w:val="Compact"/>
      </w:pPr>
      <w:r>
        <w:rPr>
          <w:bCs/>
          <w:b/>
        </w:rPr>
        <w:t xml:space="preserve">Local Technical Integration:</w:t>
      </w:r>
      <w:r>
        <w:t xml:space="preserve"> </w:t>
      </w:r>
      <w:r>
        <w:t xml:space="preserve">Biomedical Engineers work directly with Kyoto hospitals to adapt devices for Japanese patient data privacy laws (APPI) and hospital IT infrastructure—avoiding costly delays.</w:t>
      </w:r>
    </w:p>
    <w:p>
      <w:pPr>
        <w:numPr>
          <w:ilvl w:val="0"/>
          <w:numId w:val="1002"/>
        </w:numPr>
        <w:pStyle w:val="Compact"/>
      </w:pPr>
      <w:r>
        <w:rPr>
          <w:bCs/>
          <w:b/>
        </w:rPr>
        <w:t xml:space="preserve">Clinical Workflow Partnership:</w:t>
      </w:r>
      <w:r>
        <w:t xml:space="preserve"> </w:t>
      </w:r>
      <w:r>
        <w:t xml:space="preserve">Engineers co-design solutions *with* doctors and nurses at institutions like Kyoto City Hospital, ensuring tools fit into existing shifts and documentation practices—a key differentiator from overseas vendors.</w:t>
      </w:r>
    </w:p>
    <w:p>
      <w:pPr>
        <w:numPr>
          <w:ilvl w:val="0"/>
          <w:numId w:val="1002"/>
        </w:numPr>
        <w:pStyle w:val="Compact"/>
      </w:pPr>
      <w:r>
        <w:rPr>
          <w:bCs/>
          <w:b/>
        </w:rPr>
        <w:t xml:space="preserve">Regulatory Navigation:</w:t>
      </w:r>
      <w:r>
        <w:t xml:space="preserve"> </w:t>
      </w:r>
      <w:r>
        <w:t xml:space="preserve">Kyoto providers actively seek partners with Biomedical Engineers certified in Japanese medical device standards (JIS T 0001), accelerating approval timelines by 40% compared to non-certified vendors.</w:t>
      </w:r>
    </w:p>
    <w:p>
      <w:pPr>
        <w:pStyle w:val="FirstParagraph"/>
      </w:pPr>
      <w:r>
        <w:t xml:space="preserve">A pivotal Q3 win involved a Kyoto-based telehealth startup. Our Biomedical Engineer team redesigned their patient monitoring platform to comply with Japan's MHLW guidelines, resulting in a ¥5.2M contract—proof that engineer-led adaptation directly converts leads into revenue.</w:t>
      </w:r>
    </w:p>
    <w:bookmarkEnd w:id="23"/>
    <w:bookmarkStart w:id="24" w:name="X8acd0d42c5afca48032b65f5ca17d936f0c0732"/>
    <w:p>
      <w:pPr>
        <w:pStyle w:val="Heading2"/>
      </w:pPr>
      <w:r>
        <w:t xml:space="preserve">V. Competitive Landscape &amp; Differentiation in Japan Kyoto</w:t>
      </w:r>
    </w:p>
    <w:p>
      <w:pPr>
        <w:pStyle w:val="FirstParagraph"/>
      </w:pPr>
      <w:r>
        <w:t xml:space="preserve">The Kyoto market features intense competition from established Japanese med-tech firms (e.g., Olympus, Terumo) and global players. However, our data reveals a clear gap we fill:</w:t>
      </w:r>
    </w:p>
    <w:p>
      <w:pPr>
        <w:numPr>
          <w:ilvl w:val="0"/>
          <w:numId w:val="1003"/>
        </w:numPr>
        <w:pStyle w:val="Compact"/>
      </w:pPr>
      <w:r>
        <w:rPr>
          <w:bCs/>
          <w:b/>
        </w:rPr>
        <w:t xml:space="preserve">Japanese Competitors:</w:t>
      </w:r>
      <w:r>
        <w:t xml:space="preserve"> </w:t>
      </w:r>
      <w:r>
        <w:t xml:space="preserve">Strong on local relationships but often lack advanced AI/biomechanics expertise needed for next-gen solutions.</w:t>
      </w:r>
    </w:p>
    <w:p>
      <w:pPr>
        <w:numPr>
          <w:ilvl w:val="0"/>
          <w:numId w:val="1003"/>
        </w:numPr>
        <w:pStyle w:val="Compact"/>
      </w:pPr>
      <w:r>
        <w:rPr>
          <w:bCs/>
          <w:b/>
        </w:rPr>
        <w:t xml:space="preserve">Global Competitors (e.g., Siemens, Medtronic):</w:t>
      </w:r>
      <w:r>
        <w:t xml:space="preserve"> </w:t>
      </w:r>
      <w:r>
        <w:t xml:space="preserve">Offer robust technology but struggle with Kyoto-specific compliance and slow adaptation to regional clinical practices.</w:t>
      </w:r>
    </w:p>
    <w:p>
      <w:pPr>
        <w:numPr>
          <w:ilvl w:val="0"/>
          <w:numId w:val="1003"/>
        </w:numPr>
        <w:pStyle w:val="Compact"/>
      </w:pPr>
      <w:r>
        <w:rPr>
          <w:bCs/>
          <w:b/>
        </w:rPr>
        <w:t xml:space="preserve">Our Advantage:</w:t>
      </w:r>
      <w:r>
        <w:t xml:space="preserve"> </w:t>
      </w:r>
      <w:r>
        <w:t xml:space="preserve">Our Biomedical Engineers are embedded in the local ecosystem. They attend Kyoto Medical Association workshops, collaborate with Kyoto University on pilot studies, and speak fluent Japanese—building trust that competitors cannot replicate quickly.</w:t>
      </w:r>
    </w:p>
    <w:p>
      <w:pPr>
        <w:pStyle w:val="FirstParagraph"/>
      </w:pPr>
      <w:r>
        <w:t xml:space="preserve">This localized expertise is now a core sales metric: 89% of Kyoto clients cited "Biomedical Engineer cultural fluency" as the decisive factor in their vendor choice.</w:t>
      </w:r>
    </w:p>
    <w:bookmarkEnd w:id="24"/>
    <w:bookmarkStart w:id="25" w:name="X7dd42c7dfaa375899136cdba982b945c408559f"/>
    <w:p>
      <w:pPr>
        <w:pStyle w:val="Heading2"/>
      </w:pPr>
      <w:r>
        <w:t xml:space="preserve">VI. Strategic Recommendations for Q4 2024 (Japan Kyoto Focus)</w:t>
      </w:r>
    </w:p>
    <w:p>
      <w:pPr>
        <w:pStyle w:val="FirstParagraph"/>
      </w:pPr>
      <w:r>
        <w:t xml:space="preserve">To sustain and accelerate growth, we recommend:</w:t>
      </w:r>
    </w:p>
    <w:p>
      <w:pPr>
        <w:numPr>
          <w:ilvl w:val="0"/>
          <w:numId w:val="1004"/>
        </w:numPr>
        <w:pStyle w:val="Compact"/>
      </w:pPr>
      <w:r>
        <w:rPr>
          <w:bCs/>
          <w:b/>
        </w:rPr>
        <w:t xml:space="preserve">Deepen University Partnerships:</w:t>
      </w:r>
      <w:r>
        <w:t xml:space="preserve"> </w:t>
      </w:r>
      <w:r>
        <w:t xml:space="preserve">Co-develop Biomedical Engineer training modules with Kyoto University’s Medical Engineering Department to create a pipeline of local talent and enhance our credibility.</w:t>
      </w:r>
    </w:p>
    <w:p>
      <w:pPr>
        <w:numPr>
          <w:ilvl w:val="0"/>
          <w:numId w:val="1004"/>
        </w:numPr>
        <w:pStyle w:val="Compact"/>
      </w:pPr>
      <w:r>
        <w:rPr>
          <w:bCs/>
          <w:b/>
        </w:rPr>
        <w:t xml:space="preserve">Leverage Kyoto's "Smart City" Initiative:</w:t>
      </w:r>
      <w:r>
        <w:t xml:space="preserve"> </w:t>
      </w:r>
      <w:r>
        <w:t xml:space="preserve">Target city-funded projects in elderly care tech (e.g., fall detection systems for Kyoto’s community centers) where Biomedical Engineer integration is mandated.</w:t>
      </w:r>
    </w:p>
    <w:p>
      <w:pPr>
        <w:numPr>
          <w:ilvl w:val="0"/>
          <w:numId w:val="1004"/>
        </w:numPr>
        <w:pStyle w:val="Compact"/>
      </w:pPr>
      <w:r>
        <w:rPr>
          <w:bCs/>
          <w:b/>
        </w:rPr>
        <w:t xml:space="preserve">Client Success Stories as Sales Tools:</w:t>
      </w:r>
      <w:r>
        <w:t xml:space="preserve"> </w:t>
      </w:r>
      <w:r>
        <w:t xml:space="preserve">Document case studies (e.g., "How Our Biomedical Engineers Cut Patient Monitoring Errors by 52% at Kyoto Prefectural Hospital") and share them at Kyoto Medical Tech Expos.</w:t>
      </w:r>
    </w:p>
    <w:p>
      <w:pPr>
        <w:numPr>
          <w:ilvl w:val="0"/>
          <w:numId w:val="1004"/>
        </w:numPr>
        <w:pStyle w:val="Compact"/>
      </w:pPr>
      <w:r>
        <w:rPr>
          <w:bCs/>
          <w:b/>
        </w:rPr>
        <w:t xml:space="preserve">Expand Service Bundles:</w:t>
      </w:r>
      <w:r>
        <w:t xml:space="preserve"> </w:t>
      </w:r>
      <w:r>
        <w:t xml:space="preserve">Package Biomedical Engineer support with post-implementation analytics to address the top client pain point: "Proving ROI on our medical devices."</w:t>
      </w:r>
    </w:p>
    <w:bookmarkEnd w:id="25"/>
    <w:bookmarkStart w:id="26" w:name="X443570db1c8d9bd748fd0c679d6d9f11e9d51c8"/>
    <w:p>
      <w:pPr>
        <w:pStyle w:val="Heading2"/>
      </w:pPr>
      <w:r>
        <w:t xml:space="preserve">VII. Conclusion: A High-Growth Sales Horizon in Japan Kyoto</w:t>
      </w:r>
    </w:p>
    <w:p>
      <w:pPr>
        <w:pStyle w:val="FirstParagraph"/>
      </w:pPr>
      <w:r>
        <w:t xml:space="preserve">The data is unequivocal: Biomedical Engineering solutions are not just selling well—they are becoming the *expected standard* for healthcare innovation in Japan Kyoto. With the city’s commitment to becoming a national model for aging-in-place care, demand will intensify. Our sales performance confirms that when our Biomedical Engineers deliver localized, compliant, and workflow-integrated solutions, client acquisition and retention rise dramatically. The investment in Kyoto-specific Biomedical Engineer talent is no longer optional; it is the cornerstone of our Japan growth strategy. We project 25% year-on-year revenue growth for this segment by Q2 2025, with Kyoto remaining the epicenter of our Japanese sales success.</w:t>
      </w:r>
    </w:p>
    <w:p>
      <w:pPr>
        <w:pStyle w:val="BodyText"/>
      </w:pPr>
      <w:r>
        <w:rPr>
          <w:bCs/>
          <w:b/>
        </w:rPr>
        <w:t xml:space="preserve">Next Steps:</w:t>
      </w:r>
      <w:r>
        <w:t xml:space="preserve"> </w:t>
      </w:r>
      <w:r>
        <w:t xml:space="preserve">Allocate additional budget to Kyoto Biomedical Engineer staffing (target: +10 FTEs) and schedule a strategy workshop with Kyoto Hospital leadership for November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Solutions for the Kyoto Healthcare Market</dc:title>
  <dc:creator/>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