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Kuwait</w:t>
      </w:r>
      <w:r>
        <w:t xml:space="preserve"> </w:t>
      </w:r>
      <w:r>
        <w:t xml:space="preserve">City</w:t>
      </w:r>
    </w:p>
    <w:bookmarkStart w:id="30" w:name="Xe4e53cae88f0768f498652010874740a20da587"/>
    <w:p>
      <w:pPr>
        <w:pStyle w:val="Heading1"/>
      </w:pPr>
      <w:r>
        <w:t xml:space="preserve">Sales Report: Biomedical Engineer Solutions for Kuwait City Healthcare Infrastructure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Kuwait Medical Technology Consortium</w:t>
      </w:r>
      <w:r>
        <w:br/>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details the strategic growth of Biomedical Engineering services across Kuwait City, highlighting unprecedented demand for certified Biomedical Engineers in the region's healthcare ecosystem. As Kuwait City accelerates its healthcare modernization under Vision 2035, our company has achieved a 37% year-over-year increase in sales revenue specifically targeting Biomedical Engineer recruitment, equipment maintenance, and technology integration services. The Kuwait City market now represents 68% of our total Gulf operations, confirming its status as the epicenter for biomedical engineering advancement in the GCC.</w:t>
      </w:r>
    </w:p>
    <w:bookmarkEnd w:id="20"/>
    <w:bookmarkStart w:id="21" w:name="Xbd2a0c0752e894eecdd5ce611223bf83ab4052d"/>
    <w:p>
      <w:pPr>
        <w:pStyle w:val="Heading2"/>
      </w:pPr>
      <w:r>
        <w:t xml:space="preserve">II. Market Context: Biomedical Engineering Demand in Kuwait City</w:t>
      </w:r>
    </w:p>
    <w:p>
      <w:pPr>
        <w:pStyle w:val="FirstParagraph"/>
      </w:pPr>
      <w:r>
        <w:t xml:space="preserve">Kuwait City's healthcare landscape is undergoing a transformative phase with the National Health Strategy 2035 prioritizing advanced medical technology adoption. The Ministry of Health (MOH) has allocated $1.2 billion for new hospital infrastructure and equipment upgrades across Kuwait City, creating an urgent requirement for specialized Biomedical Engineers. This demand is amplified by:</w:t>
      </w:r>
    </w:p>
    <w:p>
      <w:pPr>
        <w:numPr>
          <w:ilvl w:val="0"/>
          <w:numId w:val="1001"/>
        </w:numPr>
        <w:pStyle w:val="Compact"/>
      </w:pPr>
      <w:r>
        <w:t xml:space="preserve">Completion of the new 2,000-bed Al-Amal Hospital in Kuwait City</w:t>
      </w:r>
    </w:p>
    <w:p>
      <w:pPr>
        <w:numPr>
          <w:ilvl w:val="0"/>
          <w:numId w:val="1001"/>
        </w:numPr>
        <w:pStyle w:val="Compact"/>
      </w:pPr>
      <w:r>
        <w:t xml:space="preserve">MOH mandate requiring all public facilities to undergo biomedical equipment certification by 2025</w:t>
      </w:r>
    </w:p>
    <w:p>
      <w:pPr>
        <w:numPr>
          <w:ilvl w:val="0"/>
          <w:numId w:val="1001"/>
        </w:numPr>
        <w:pStyle w:val="Compact"/>
      </w:pPr>
      <w:r>
        <w:t xml:space="preserve">Rising private healthcare investment (34% YoY growth) in Kuwait City's Central District</w:t>
      </w:r>
    </w:p>
    <w:p>
      <w:pPr>
        <w:pStyle w:val="FirstParagraph"/>
      </w:pPr>
      <w:r>
        <w:t xml:space="preserve">Our field research confirms that 89% of hospitals and diagnostic centers in Kuwait City now maintain full-time Biomedical Engineer positions – a 210% increase since 2020. This trend directly correlates with our sales performance, as hospitals actively seek certified professionals to manage critical equipment like MRI systems, surgical robots, and telemedicine platforms.</w:t>
      </w:r>
    </w:p>
    <w:bookmarkEnd w:id="21"/>
    <w:bookmarkStart w:id="22" w:name="X653b08c96a4e463b89e16fabe4d67f4463fceb6"/>
    <w:p>
      <w:pPr>
        <w:pStyle w:val="Heading2"/>
      </w:pPr>
      <w:r>
        <w:t xml:space="preserve">III. Sales Performance Analysis: Kuwait City Focus</w:t>
      </w:r>
    </w:p>
    <w:p>
      <w:pPr>
        <w:pStyle w:val="FirstParagraph"/>
      </w:pPr>
      <w:r>
        <w:t xml:space="preserve">Our Q3 2023 sales data for Kuwait City reveals exceptional growth across three key service lines: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(KWD)</w:t>
            </w:r>
          </w:p>
        </w:tc>
        <w:tc>
          <w:tcPr/>
          <w:p>
            <w:pPr>
              <w:pStyle w:val="Compact"/>
              <w:jc w:val="left"/>
            </w:pPr>
            <w:r>
              <w:t xml:space="preserve">YoY Growth</w:t>
            </w:r>
          </w:p>
        </w:tc>
        <w:tc>
          <w:tcPr/>
          <w:p>
            <w:pPr>
              <w:pStyle w:val="Compact"/>
              <w:jc w:val="left"/>
            </w:pPr>
            <w:r>
              <w:t xml:space="preserve">Key Clients in Kuwait City</w:t>
            </w:r>
          </w:p>
        </w:tc>
      </w:tr>
      <w:tr>
        <w:tc>
          <w:tcPr/>
          <w:p>
            <w:pPr>
              <w:pStyle w:val="Compact"/>
              <w:jc w:val="left"/>
            </w:pPr>
            <w:r>
              <w:t xml:space="preserve">Biomedical Engineer Recruitment</w:t>
            </w:r>
          </w:p>
        </w:tc>
        <w:tc>
          <w:tcPr/>
          <w:p>
            <w:pPr>
              <w:pStyle w:val="Compact"/>
              <w:jc w:val="left"/>
            </w:pPr>
            <w:r>
              <w:t xml:space="preserve">148,500</w:t>
            </w:r>
          </w:p>
        </w:tc>
        <w:tc>
          <w:tcPr/>
          <w:p>
            <w:pPr>
              <w:pStyle w:val="Compact"/>
              <w:jc w:val="left"/>
            </w:pPr>
            <w:r>
              <w:t xml:space="preserve">+42%</w:t>
            </w:r>
          </w:p>
        </w:tc>
        <w:tc>
          <w:tcPr/>
          <w:p>
            <w:pPr>
              <w:pStyle w:val="Compact"/>
              <w:jc w:val="left"/>
            </w:pPr>
            <w:r>
              <w:t xml:space="preserve">National Center for Medical Education, Al-Sabah Hospital, Kuwait Cancer Control Center</w:t>
            </w:r>
          </w:p>
        </w:tc>
      </w:tr>
      <w:tr>
        <w:tc>
          <w:tcPr/>
          <w:p>
            <w:pPr>
              <w:pStyle w:val="Compact"/>
              <w:jc w:val="left"/>
            </w:pPr>
            <w:r>
              <w:t xml:space="preserve">Equipment Maintenance Contracts</w:t>
            </w:r>
          </w:p>
        </w:tc>
        <w:tc>
          <w:tcPr/>
          <w:p>
            <w:pPr>
              <w:pStyle w:val="Compact"/>
              <w:jc w:val="left"/>
            </w:pPr>
            <w:r>
              <w:t xml:space="preserve">217,300</w:t>
            </w:r>
          </w:p>
        </w:tc>
        <w:tc>
          <w:tcPr/>
          <w:p>
            <w:pPr>
              <w:pStyle w:val="Compact"/>
              <w:jc w:val="left"/>
            </w:pPr>
            <w:r>
              <w:t xml:space="preserve">+31%</w:t>
            </w:r>
          </w:p>
        </w:tc>
        <w:tc>
          <w:tcPr/>
          <w:p>
            <w:pPr>
              <w:pStyle w:val="Compact"/>
              <w:jc w:val="left"/>
            </w:pPr>
            <w:r>
              <w:t xml:space="preserve">Kuwait Medical Rehabilitation Hospital, Al-Amal Specialist Clinic, Mubarak Al-Kabeer Hospital</w:t>
            </w:r>
          </w:p>
        </w:tc>
      </w:tr>
      <w:tr>
        <w:tc>
          <w:tcPr/>
          <w:p>
            <w:pPr>
              <w:pStyle w:val="Compact"/>
              <w:jc w:val="left"/>
            </w:pPr>
            <w:r>
              <w:t xml:space="preserve">Technology Integration Solutions</w:t>
            </w:r>
          </w:p>
        </w:tc>
        <w:tc>
          <w:tcPr/>
          <w:p>
            <w:pPr>
              <w:pStyle w:val="Compact"/>
              <w:jc w:val="left"/>
            </w:pPr>
            <w:r>
              <w:t xml:space="preserve">89,700</w:t>
            </w:r>
          </w:p>
        </w:tc>
        <w:tc>
          <w:tcPr/>
          <w:p>
            <w:pPr>
              <w:pStyle w:val="Compact"/>
              <w:jc w:val="left"/>
            </w:pPr>
            <w:r>
              <w:t xml:space="preserve">+56%</w:t>
            </w:r>
          </w:p>
        </w:tc>
        <w:tc>
          <w:tcPr/>
          <w:p>
            <w:pPr>
              <w:pStyle w:val="Compact"/>
              <w:jc w:val="left"/>
            </w:pPr>
            <w:r>
              <w:t xml:space="preserve">Kuwait HealthTech Innovation Hub, Private Diagnostic Centers Network</w:t>
            </w:r>
          </w:p>
        </w:tc>
      </w:tr>
    </w:tbl>
    <w:p>
      <w:pPr>
        <w:pStyle w:val="BodyText"/>
      </w:pPr>
      <w:r>
        <w:t xml:space="preserve">Notably, our Biomedical Engineer recruitment service achieved 143 placements in Kuwait City hospitals – including 27 senior specialists for the new Al-Haditha Hospital project. The technology integration segment saw remarkable growth due to Kuwait City's adoption of AI-driven diagnostic systems, where certified Biomedical Engineers are essential for implementation and compliance.</w:t>
      </w:r>
    </w:p>
    <w:bookmarkEnd w:id="22"/>
    <w:bookmarkStart w:id="26" w:name="X7caea7352a56c1bba24d580bf425b521725e793"/>
    <w:p>
      <w:pPr>
        <w:pStyle w:val="Heading2"/>
      </w:pPr>
      <w:r>
        <w:t xml:space="preserve">IV. Strategic Initiatives Driving Sales in Kuwait City</w:t>
      </w:r>
    </w:p>
    <w:p>
      <w:pPr>
        <w:pStyle w:val="FirstParagraph"/>
      </w:pPr>
      <w:r>
        <w:t xml:space="preserve">Our success stems from three targeted strategies aligned with Kuwait City's healthcare priorities:</w:t>
      </w:r>
    </w:p>
    <w:bookmarkStart w:id="23" w:name="X7c804d6ef356b30bc52e123a8b1908455fc5226"/>
    <w:p>
      <w:pPr>
        <w:pStyle w:val="Heading3"/>
      </w:pPr>
      <w:r>
        <w:t xml:space="preserve">A. Ministry-Approved Training Partnerships</w:t>
      </w:r>
    </w:p>
    <w:p>
      <w:pPr>
        <w:pStyle w:val="FirstParagraph"/>
      </w:pPr>
      <w:r>
        <w:t xml:space="preserve">We've partnered with the Kuwait Institute of Technology and the MOH to develop a nationally recognized Biomedical Engineer certification program exclusively for Kuwait City professionals. This initiative has generated 127 new client contracts in Q3, including training for 450 hospital staff across Kuwait City.</w:t>
      </w:r>
    </w:p>
    <w:bookmarkEnd w:id="23"/>
    <w:bookmarkStart w:id="24" w:name="b.-equipment-lifecycle-management-system"/>
    <w:p>
      <w:pPr>
        <w:pStyle w:val="Heading3"/>
      </w:pPr>
      <w:r>
        <w:t xml:space="preserve">B. Equipment Lifecycle Management System</w:t>
      </w:r>
    </w:p>
    <w:p>
      <w:pPr>
        <w:pStyle w:val="FirstParagraph"/>
      </w:pPr>
      <w:r>
        <w:t xml:space="preserve">Our proprietary "MediTrack" platform – deployed in 18 Kuwait City facilities – provides real-time equipment analytics and predictive maintenance alerts. This solution reduced emergency repair costs by 44% for clients, directly driving our maintenance contract sales upward.</w:t>
      </w:r>
    </w:p>
    <w:bookmarkEnd w:id="24"/>
    <w:bookmarkStart w:id="25" w:name="Xda86d189b99a969c5a6d34f99ff7d5733eb7676"/>
    <w:p>
      <w:pPr>
        <w:pStyle w:val="Heading3"/>
      </w:pPr>
      <w:r>
        <w:t xml:space="preserve">C. Kuwait City Healthcare Innovation Fund</w:t>
      </w:r>
    </w:p>
    <w:p>
      <w:pPr>
        <w:pStyle w:val="FirstParagraph"/>
      </w:pPr>
      <w:r>
        <w:t xml:space="preserve">We secured $750,000 in funding from the Kuwait Foundation for Advancement of Sciences to support Biomedical Engineer-led projects. This enables us to offer subsidized technology upgrades to public hospitals in Kuwait City – a key factor behind our 29% increase in government sector contracts.</w:t>
      </w:r>
    </w:p>
    <w:bookmarkEnd w:id="25"/>
    <w:bookmarkEnd w:id="26"/>
    <w:bookmarkStart w:id="27" w:name="X29d8d5a1bb365321f46b217bcae4fbe5dd734b3"/>
    <w:p>
      <w:pPr>
        <w:pStyle w:val="Heading2"/>
      </w:pPr>
      <w:r>
        <w:t xml:space="preserve">V. Market Challenges and Adaptive Solutions</w:t>
      </w:r>
    </w:p>
    <w:p>
      <w:pPr>
        <w:pStyle w:val="FirstParagraph"/>
      </w:pPr>
      <w:r>
        <w:t xml:space="preserve">Despite robust growth, we identified two critical challenges specific to Kuwait City:</w:t>
      </w:r>
    </w:p>
    <w:p>
      <w:pPr>
        <w:numPr>
          <w:ilvl w:val="0"/>
          <w:numId w:val="1002"/>
        </w:numPr>
        <w:pStyle w:val="Compact"/>
      </w:pPr>
      <w:r>
        <w:rPr>
          <w:bCs/>
          <w:b/>
        </w:rPr>
        <w:t xml:space="preserve">Skills Shortage:</w:t>
      </w:r>
      <w:r>
        <w:t xml:space="preserve"> </w:t>
      </w:r>
      <w:r>
        <w:t xml:space="preserve">Only 38% of Biomedical Engineer candidates meet MOH's new certification standards. Our solution: Launched accelerated training programs with 72-hour competency assessments, reducing candidate onboarding time by 58%.</w:t>
      </w:r>
    </w:p>
    <w:p>
      <w:pPr>
        <w:numPr>
          <w:ilvl w:val="0"/>
          <w:numId w:val="1002"/>
        </w:numPr>
        <w:pStyle w:val="Compact"/>
      </w:pPr>
      <w:r>
        <w:rPr>
          <w:bCs/>
          <w:b/>
        </w:rPr>
        <w:t xml:space="preserve">Cultural Adaptation:</w:t>
      </w:r>
      <w:r>
        <w:t xml:space="preserve"> </w:t>
      </w:r>
      <w:r>
        <w:t xml:space="preserve">Equipment installation conflicts due to unique Kuwait City facility layouts. Our solution: Created a "Kuwait City Facility Mapping Protocol" used by all our Biomedical Engineers for pre-installation site analysis, eliminating 92% of redesign requests.</w:t>
      </w:r>
    </w:p>
    <w:bookmarkEnd w:id="27"/>
    <w:bookmarkStart w:id="28" w:name="Xd33b1e8500d2d270c60d07df4d27d5fe01cd117"/>
    <w:p>
      <w:pPr>
        <w:pStyle w:val="Heading2"/>
      </w:pPr>
      <w:r>
        <w:t xml:space="preserve">VI. Future Outlook: Kuwait City as Regional Hub</w:t>
      </w:r>
    </w:p>
    <w:p>
      <w:pPr>
        <w:pStyle w:val="FirstParagraph"/>
      </w:pPr>
      <w:r>
        <w:t xml:space="preserve">Kuwait City's strategic position as a healthcare hub for the Gulf will exponentially increase demand. By 2025, we project:</w:t>
      </w:r>
    </w:p>
    <w:p>
      <w:pPr>
        <w:numPr>
          <w:ilvl w:val="0"/>
          <w:numId w:val="1003"/>
        </w:numPr>
        <w:pStyle w:val="Compact"/>
      </w:pPr>
      <w:r>
        <w:t xml:space="preserve">40% growth in Biomedical Engineer recruitment services</w:t>
      </w:r>
    </w:p>
    <w:p>
      <w:pPr>
        <w:numPr>
          <w:ilvl w:val="0"/>
          <w:numId w:val="1003"/>
        </w:numPr>
        <w:pStyle w:val="Compact"/>
      </w:pPr>
      <w:r>
        <w:t xml:space="preserve">New $3.8M contracts with Kuwait City's upcoming Smart Hospital initiative</w:t>
      </w:r>
    </w:p>
    <w:p>
      <w:pPr>
        <w:numPr>
          <w:ilvl w:val="0"/>
          <w:numId w:val="1003"/>
        </w:numPr>
        <w:pStyle w:val="Compact"/>
      </w:pPr>
      <w:r>
        <w:t xml:space="preserve">Expansion into medical device manufacturing support – a priority under Kuwait's Vision 2035 industrial plan</w:t>
      </w:r>
    </w:p>
    <w:p>
      <w:pPr>
        <w:pStyle w:val="FirstParagraph"/>
      </w:pPr>
      <w:r>
        <w:t xml:space="preserve">The Ministry of Health's recent policy requiring all new medical equipment to include Biomedical Engineer certification directly benefits our service model. We anticipate Kuwait City will become the GCC's leading market for Biomedical Engineering services within three years, with a projected market value exceeding $285 million by 2027.</w:t>
      </w:r>
    </w:p>
    <w:bookmarkEnd w:id="28"/>
    <w:bookmarkStart w:id="29" w:name="vii.-conclusion"/>
    <w:p>
      <w:pPr>
        <w:pStyle w:val="Heading2"/>
      </w:pPr>
      <w:r>
        <w:t xml:space="preserve">VII. Conclusion</w:t>
      </w:r>
    </w:p>
    <w:p>
      <w:pPr>
        <w:pStyle w:val="FirstParagraph"/>
      </w:pPr>
      <w:r>
        <w:t xml:space="preserve">This Sales Report confirms that Kuwait City represents the most dynamic and high-growth opportunity for Biomedical Engineering services in the Middle East. Our strategic focus on certified Biomedical Engineer deployment, technology integration, and local partnerships has positioned us as the preferred vendor for healthcare modernization across Kuwait City. As hospitals prioritize patient safety through advanced equipment management, the demand for skilled Biomedical Engineers will continue to drive our sales trajectory forward.</w:t>
      </w:r>
    </w:p>
    <w:p>
      <w:pPr>
        <w:pStyle w:val="BodyText"/>
      </w:pPr>
      <w:r>
        <w:t xml:space="preserve">Recommendation: Allocate 15% of Q4 2023 R&amp;D budget toward developing Kuwait-specific Biomedical Engineer training modules focused on desert climate equipment adaptation – a critical need for Kuwait City's unique environmental conditions. This targeted investment will further strengthen our market leadership while supporting the nation's healthcare transformation goals.</w:t>
      </w:r>
    </w:p>
    <w:p>
      <w:pPr>
        <w:pStyle w:val="BodyText"/>
      </w:pPr>
      <w:r>
        <w:rPr>
          <w:bCs/>
          <w:b/>
        </w:rPr>
        <w:t xml:space="preserve">Prepared By:</w:t>
      </w:r>
      <w:r>
        <w:t xml:space="preserve"> </w:t>
      </w:r>
      <w:r>
        <w:t xml:space="preserve">Sarah Al-Mutairi, Senior Sales Director</w:t>
      </w:r>
      <w:r>
        <w:br/>
      </w:r>
      <w:r>
        <w:rPr>
          <w:bCs/>
          <w:b/>
        </w:rPr>
        <w:t xml:space="preserve">Company:</w:t>
      </w:r>
      <w:r>
        <w:t xml:space="preserve"> </w:t>
      </w:r>
      <w:r>
        <w:t xml:space="preserve">GulfMed Tech Solutions</w:t>
      </w:r>
      <w:r>
        <w:br/>
      </w:r>
      <w:r>
        <w:rPr>
          <w:bCs/>
          <w:b/>
        </w:rPr>
        <w:t xml:space="preserve">Contact:</w:t>
      </w:r>
      <w:r>
        <w:t xml:space="preserve"> </w:t>
      </w:r>
      <w:r>
        <w:t xml:space="preserve">sarah.almutairi@gulftechsolutions.com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Kuwait City</dc:title>
  <dc:creator/>
  <dc:language>en</dc:language>
  <cp:keywords/>
  <dcterms:created xsi:type="dcterms:W3CDTF">2026-07-21T15:26:50Z</dcterms:created>
  <dcterms:modified xsi:type="dcterms:W3CDTF">2026-07-21T15:26:50Z</dcterms:modified>
</cp:coreProperties>
</file>

<file path=docProps/custom.xml><?xml version="1.0" encoding="utf-8"?>
<Properties xmlns="http://schemas.openxmlformats.org/officeDocument/2006/custom-properties" xmlns:vt="http://schemas.openxmlformats.org/officeDocument/2006/docPropsVTypes"/>
</file>