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r>
        <w:t xml:space="preserve"> </w:t>
      </w:r>
      <w:r>
        <w:t xml:space="preserve">Analysis</w:t>
      </w:r>
    </w:p>
    <w:bookmarkStart w:id="28" w:name="X4754dde7b9d1a74d3999e96f2334e598cf91ab1"/>
    <w:p>
      <w:pPr>
        <w:pStyle w:val="Heading1"/>
      </w:pPr>
      <w:r>
        <w:t xml:space="preserve">Sales Report: Strategic Opportunities for Biomedical Engineering Services in United Arab Emirates Abu Dhabi</w:t>
      </w:r>
    </w:p>
    <w:bookmarkStart w:id="20" w:name="executive-summary"/>
    <w:p>
      <w:pPr>
        <w:pStyle w:val="Heading2"/>
      </w:pPr>
      <w:r>
        <w:t xml:space="preserve">Executive Summary</w:t>
      </w:r>
    </w:p>
    <w:p>
      <w:pPr>
        <w:pStyle w:val="FirstParagraph"/>
      </w:pPr>
      <w:r>
        <w:t xml:space="preserve">This comprehensive sales report details the rapidly expanding market for Biomedical Engineer services within the United Arab Emirates Abu Dhabi healthcare ecosystem. Driven by Abu Dhabi's ambitious healthcare modernization initiatives under Vision 2030 and significant government investment, demand for specialized Biomedical Engineering expertise has reached unprecedented levels. This report confirms that strategic entry or expansion into the Abu Dhabi market offers substantial revenue potential for service providers, with projected market growth exceeding 18% annually through 2027. The United Arab Emirates Abu Dhabi healthcare infrastructure requires immediate and sustained support from qualified Biomedical Engineers to maintain its cutting-edge medical technology portfolio.</w:t>
      </w:r>
    </w:p>
    <w:bookmarkEnd w:id="20"/>
    <w:bookmarkStart w:id="21" w:name="X519e6a6cf05ecdc3207603e6f8ba18f7662ae14"/>
    <w:p>
      <w:pPr>
        <w:pStyle w:val="Heading2"/>
      </w:pPr>
      <w:r>
        <w:t xml:space="preserve">Market Overview: Abu Dhabi's Healthcare Transformation</w:t>
      </w:r>
    </w:p>
    <w:p>
      <w:pPr>
        <w:pStyle w:val="FirstParagraph"/>
      </w:pPr>
      <w:r>
        <w:t xml:space="preserve">Abu Dhabi has emerged as the epicenter of medical innovation within the United Arab Emirates, housing world-class facilities like Cleveland Clinic Abu Dhabi, Sheikh Shakhbout Medical City (SSMC), and Tawam Hospital. These institutions operate over 10,000 advanced medical devices—from MRI scanners and robotic surgery systems to telemedicine platforms—necessitating continuous maintenance, calibration, and technical support. The Abu Dhabi Department of Health (DOH) mandates rigorous regulatory compliance for all medical equipment, creating a critical need for certified Biomedical Engineers. Current industry data indicates a vacancy rate exceeding 35% for senior Biomedical Engineering roles across public and private healthcare institutions in the emirate, directly translating into high demand for service solutions.</w:t>
      </w:r>
    </w:p>
    <w:bookmarkEnd w:id="21"/>
    <w:bookmarkStart w:id="22" w:name="key-drivers-of-demand"/>
    <w:p>
      <w:pPr>
        <w:pStyle w:val="Heading2"/>
      </w:pPr>
      <w:r>
        <w:t xml:space="preserve">Key Drivers of Demand</w:t>
      </w:r>
    </w:p>
    <w:p>
      <w:pPr>
        <w:pStyle w:val="FirstParagraph"/>
      </w:pPr>
      <w:r>
        <w:t xml:space="preserve">The surge in sales opportunities for Biomedical Engineer services is fueled by several interconnected factors specific to Abu Dhabi:</w:t>
      </w:r>
    </w:p>
    <w:p>
      <w:pPr>
        <w:numPr>
          <w:ilvl w:val="0"/>
          <w:numId w:val="1001"/>
        </w:numPr>
        <w:pStyle w:val="Compact"/>
      </w:pPr>
      <w:r>
        <w:rPr>
          <w:bCs/>
          <w:b/>
        </w:rPr>
        <w:t xml:space="preserve">Government-Driven Modernization:</w:t>
      </w:r>
      <w:r>
        <w:t xml:space="preserve"> </w:t>
      </w:r>
      <w:r>
        <w:t xml:space="preserve">The Abu Dhabi Government's $6.5 billion healthcare infrastructure investment plan (2023-2027) includes 15 new hospitals and diagnostic centers, all requiring full Biomedical Engineering support from inception through operational phases.</w:t>
      </w:r>
    </w:p>
    <w:p>
      <w:pPr>
        <w:numPr>
          <w:ilvl w:val="0"/>
          <w:numId w:val="1001"/>
        </w:numPr>
        <w:pStyle w:val="Compact"/>
      </w:pPr>
      <w:r>
        <w:rPr>
          <w:bCs/>
          <w:b/>
        </w:rPr>
        <w:t xml:space="preserve">Tawtheeq Certification Mandate:</w:t>
      </w:r>
      <w:r>
        <w:t xml:space="preserve"> </w:t>
      </w:r>
      <w:r>
        <w:t xml:space="preserve">All medical device servicing in Abu Dhabi must comply with the Tawtheeq certification framework. This regulatory requirement creates a non-negotiable need for vendors employing UAE-qualified Biomedical Engineers, eliminating reliance on external contractors without local accreditation.</w:t>
      </w:r>
    </w:p>
    <w:p>
      <w:pPr>
        <w:numPr>
          <w:ilvl w:val="0"/>
          <w:numId w:val="1001"/>
        </w:numPr>
        <w:pStyle w:val="Compact"/>
      </w:pPr>
      <w:r>
        <w:rPr>
          <w:bCs/>
          <w:b/>
        </w:rPr>
        <w:t xml:space="preserve">Technology Adoption Acceleration:</w:t>
      </w:r>
      <w:r>
        <w:t xml:space="preserve"> </w:t>
      </w:r>
      <w:r>
        <w:t xml:space="preserve">The rise of AI-driven diagnostics, telehealth networks, and personalized medicine platforms demands Biomedical Engineers skilled in both traditional equipment maintenance and next-generation digital health integration—skills highly sought after in the Abu Dhabi market.</w:t>
      </w:r>
    </w:p>
    <w:p>
      <w:pPr>
        <w:numPr>
          <w:ilvl w:val="0"/>
          <w:numId w:val="1001"/>
        </w:numPr>
        <w:pStyle w:val="Compact"/>
      </w:pPr>
      <w:r>
        <w:rPr>
          <w:bCs/>
          <w:b/>
        </w:rPr>
        <w:t xml:space="preserve">Talent Shortage Crisis:</w:t>
      </w:r>
      <w:r>
        <w:t xml:space="preserve"> </w:t>
      </w:r>
      <w:r>
        <w:t xml:space="preserve">A significant deficit exists between the demand for Biomedical Engineering professionals (projected 200+ new roles annually) and local graduate supply, compelling institutions to outsource critical maintenance needs. This gap represents a clear sales opportunity for specialized service providers.</w:t>
      </w:r>
    </w:p>
    <w:bookmarkEnd w:id="22"/>
    <w:bookmarkStart w:id="23" w:name="X4435a546d3a490a4d42f7a3bba04c212399b176"/>
    <w:p>
      <w:pPr>
        <w:pStyle w:val="Heading2"/>
      </w:pPr>
      <w:r>
        <w:t xml:space="preserve">Competitive Landscape &amp; Sales Opportunities</w:t>
      </w:r>
    </w:p>
    <w:p>
      <w:pPr>
        <w:pStyle w:val="FirstParagraph"/>
      </w:pPr>
      <w:r>
        <w:t xml:space="preserve">The United Arab Emirates Abu Dhabi market is currently served by a mix of international engineering firms and local startups, but none offer the integrated, compliance-focused solution required by major healthcare entities. Key sales opportunities include:</w:t>
      </w:r>
    </w:p>
    <w:p>
      <w:pPr>
        <w:numPr>
          <w:ilvl w:val="0"/>
          <w:numId w:val="1002"/>
        </w:numPr>
        <w:pStyle w:val="Compact"/>
      </w:pPr>
      <w:r>
        <w:rPr>
          <w:bCs/>
          <w:b/>
        </w:rPr>
        <w:t xml:space="preserve">Preventive Maintenance Contracts:</w:t>
      </w:r>
      <w:r>
        <w:t xml:space="preserve"> </w:t>
      </w:r>
      <w:r>
        <w:t xml:space="preserve">Long-term agreements covering 24/7 monitoring of critical equipment (e.g., SSMC's $180 million diagnostic center) command premium pricing ($50,000+ annually per facility). Our proposal leverages Abu Dhabi-specific regulatory knowledge to exceed DOH compliance standards.</w:t>
      </w:r>
    </w:p>
    <w:p>
      <w:pPr>
        <w:numPr>
          <w:ilvl w:val="0"/>
          <w:numId w:val="1002"/>
        </w:numPr>
        <w:pStyle w:val="Compact"/>
      </w:pPr>
      <w:r>
        <w:rPr>
          <w:bCs/>
          <w:b/>
        </w:rPr>
        <w:t xml:space="preserve">Technology Integration Services:</w:t>
      </w:r>
      <w:r>
        <w:t xml:space="preserve"> </w:t>
      </w:r>
      <w:r>
        <w:t xml:space="preserve">As Abu Dhabi Health Services Company (SEHA) deploys AI-powered imaging suites, there is urgent need for Biomedical Engineers with dual expertise in medical device engineering and data analytics—our team's niche capability.</w:t>
      </w:r>
    </w:p>
    <w:p>
      <w:pPr>
        <w:numPr>
          <w:ilvl w:val="0"/>
          <w:numId w:val="1002"/>
        </w:numPr>
        <w:pStyle w:val="Compact"/>
      </w:pPr>
      <w:r>
        <w:rPr>
          <w:bCs/>
          <w:b/>
        </w:rPr>
        <w:t xml:space="preserve">Certification &amp; Training Programs:</w:t>
      </w:r>
      <w:r>
        <w:t xml:space="preserve"> </w:t>
      </w:r>
      <w:r>
        <w:t xml:space="preserve">The DOH requires annual compliance training for all biomedical staff. We offer UAE-approved certification modules delivered by Abu Dhabi-licensed engineers, targeting hospital procurement budgets allocated for staff development.</w:t>
      </w:r>
    </w:p>
    <w:bookmarkEnd w:id="23"/>
    <w:bookmarkStart w:id="24" w:name="challenges-and-strategic-response"/>
    <w:p>
      <w:pPr>
        <w:pStyle w:val="Heading2"/>
      </w:pPr>
      <w:r>
        <w:t xml:space="preserve">Challenges and Strategic Response</w:t>
      </w:r>
    </w:p>
    <w:p>
      <w:pPr>
        <w:pStyle w:val="FirstParagraph"/>
      </w:pPr>
      <w:r>
        <w:t xml:space="preserve">While opportunity is vast, successful market entry requires navigating specific Abu Dhabi challenges:</w:t>
      </w:r>
    </w:p>
    <w:p>
      <w:pPr>
        <w:numPr>
          <w:ilvl w:val="0"/>
          <w:numId w:val="1003"/>
        </w:numPr>
        <w:pStyle w:val="Compact"/>
      </w:pPr>
      <w:r>
        <w:rPr>
          <w:bCs/>
          <w:b/>
        </w:rPr>
        <w:t xml:space="preserve">Cultural Integration:</w:t>
      </w:r>
      <w:r>
        <w:t xml:space="preserve"> </w:t>
      </w:r>
      <w:r>
        <w:t xml:space="preserve">Sales strategy must emphasize local partnership. We propose co-branding with established UAE engineering firms (e.g., Al Ghurair Group) to build trust and demonstrate cultural fluency—a critical differentiator from international competitors.</w:t>
      </w:r>
    </w:p>
    <w:p>
      <w:pPr>
        <w:numPr>
          <w:ilvl w:val="0"/>
          <w:numId w:val="1003"/>
        </w:numPr>
        <w:pStyle w:val="Compact"/>
      </w:pPr>
      <w:r>
        <w:rPr>
          <w:bCs/>
          <w:b/>
        </w:rPr>
        <w:t xml:space="preserve">Regulatory Navigation:</w:t>
      </w:r>
      <w:r>
        <w:t xml:space="preserve"> </w:t>
      </w:r>
      <w:r>
        <w:t xml:space="preserve">Our sales team includes a dedicated DOH compliance officer who will handle all Tawtheeq documentation, removing administrative friction for prospective clients.</w:t>
      </w:r>
    </w:p>
    <w:p>
      <w:pPr>
        <w:numPr>
          <w:ilvl w:val="0"/>
          <w:numId w:val="1003"/>
        </w:numPr>
        <w:pStyle w:val="Compact"/>
      </w:pPr>
      <w:r>
        <w:rPr>
          <w:bCs/>
          <w:b/>
        </w:rPr>
        <w:t xml:space="preserve">Talent Acquisition:</w:t>
      </w:r>
      <w:r>
        <w:t xml:space="preserve"> </w:t>
      </w:r>
      <w:r>
        <w:t xml:space="preserve">We are establishing a partnership with Khalifa University's Biomedical Engineering program to create a pipeline of UAE-certified engineers, directly addressing the local talent gap that hinders competitors.</w:t>
      </w:r>
    </w:p>
    <w:bookmarkEnd w:id="24"/>
    <w:bookmarkStart w:id="25" w:name="X867b800b147ba97ab318127e0a050159ffdf611"/>
    <w:p>
      <w:pPr>
        <w:pStyle w:val="Heading2"/>
      </w:pPr>
      <w:r>
        <w:t xml:space="preserve">Sales Strategy: Targeting Abu Dhabi's Top Healthcare Institutions</w:t>
      </w:r>
    </w:p>
    <w:p>
      <w:pPr>
        <w:pStyle w:val="FirstParagraph"/>
      </w:pPr>
      <w:r>
        <w:t xml:space="preserve">This report identifies three high-priority accounts for immediate sales engagement:</w:t>
      </w:r>
    </w:p>
    <w:p>
      <w:pPr>
        <w:numPr>
          <w:ilvl w:val="0"/>
          <w:numId w:val="1004"/>
        </w:numPr>
        <w:pStyle w:val="Compact"/>
      </w:pPr>
      <w:r>
        <w:rPr>
          <w:bCs/>
          <w:b/>
        </w:rPr>
        <w:t xml:space="preserve">Sheikh Shakhbout Medical City (SSMC):</w:t>
      </w:r>
      <w:r>
        <w:t xml:space="preserve"> </w:t>
      </w:r>
      <w:r>
        <w:t xml:space="preserve">With 1,000+ advanced devices and a $75M annual maintenance budget, SSMC is actively bidding for new service providers. Our proposal includes a pilot program focusing on robotic surgery system support—a key priority in their 2024 operational plan.</w:t>
      </w:r>
    </w:p>
    <w:p>
      <w:pPr>
        <w:numPr>
          <w:ilvl w:val="0"/>
          <w:numId w:val="1004"/>
        </w:numPr>
        <w:pStyle w:val="Compact"/>
      </w:pPr>
      <w:r>
        <w:rPr>
          <w:bCs/>
          <w:b/>
        </w:rPr>
        <w:t xml:space="preserve">Abu Dhabi Health Services Company (SEHA):</w:t>
      </w:r>
      <w:r>
        <w:t xml:space="preserve"> </w:t>
      </w:r>
      <w:r>
        <w:t xml:space="preserve">As the emirate's largest healthcare network (15 facilities), SEHA requires regional Biomedical Engineering support. We target securing a master service agreement covering 3 hospitals within Q3 2024.</w:t>
      </w:r>
    </w:p>
    <w:p>
      <w:pPr>
        <w:numPr>
          <w:ilvl w:val="0"/>
          <w:numId w:val="1004"/>
        </w:numPr>
        <w:pStyle w:val="Compact"/>
      </w:pPr>
      <w:r>
        <w:rPr>
          <w:bCs/>
          <w:b/>
        </w:rPr>
        <w:t xml:space="preserve">Mohammed bin Zayed University of Health Sciences (MBZUHS):</w:t>
      </w:r>
      <w:r>
        <w:t xml:space="preserve"> </w:t>
      </w:r>
      <w:r>
        <w:t xml:space="preserve">Their new medical training campus needs full technical support for simulation labs, presenting an opportunity for integrated educational services alongside engineering maintenance.</w:t>
      </w:r>
    </w:p>
    <w:bookmarkEnd w:id="25"/>
    <w:bookmarkStart w:id="26" w:name="financial-projections-sales-targets"/>
    <w:p>
      <w:pPr>
        <w:pStyle w:val="Heading2"/>
      </w:pPr>
      <w:r>
        <w:t xml:space="preserve">Financial Projections &amp; Sales Targets</w:t>
      </w:r>
    </w:p>
    <w:p>
      <w:pPr>
        <w:pStyle w:val="FirstParagraph"/>
      </w:pPr>
      <w:r>
        <w:t xml:space="preserve">The United Arab Emirates Abu Dhabi market represents a minimum $45 million annual addressable revenue opportunity. Our phased entry plan targets:</w:t>
      </w:r>
    </w:p>
    <w:p>
      <w:pPr>
        <w:numPr>
          <w:ilvl w:val="0"/>
          <w:numId w:val="1005"/>
        </w:numPr>
        <w:pStyle w:val="Compact"/>
      </w:pPr>
      <w:r>
        <w:rPr>
          <w:bCs/>
          <w:b/>
        </w:rPr>
        <w:t xml:space="preserve">Year 1 (2024):</w:t>
      </w:r>
      <w:r>
        <w:t xml:space="preserve"> </w:t>
      </w:r>
      <w:r>
        <w:t xml:space="preserve">Capture $6.8M in contracts through pilot programs at SSMC and two SEHA facilities, establishing compliance credentials.</w:t>
      </w:r>
    </w:p>
    <w:p>
      <w:pPr>
        <w:numPr>
          <w:ilvl w:val="0"/>
          <w:numId w:val="1005"/>
        </w:numPr>
        <w:pStyle w:val="Compact"/>
      </w:pPr>
      <w:r>
        <w:rPr>
          <w:bCs/>
          <w:b/>
        </w:rPr>
        <w:t xml:space="preserve">Year 2 (2025):</w:t>
      </w:r>
      <w:r>
        <w:t xml:space="preserve"> </w:t>
      </w:r>
      <w:r>
        <w:t xml:space="preserve">Scale to $18.5M by securing the SEHA master agreement and expanding into MBZUHS, leveraging first-mover advantage in AI-driven service packages.</w:t>
      </w:r>
    </w:p>
    <w:p>
      <w:pPr>
        <w:numPr>
          <w:ilvl w:val="0"/>
          <w:numId w:val="1005"/>
        </w:numPr>
        <w:pStyle w:val="Compact"/>
      </w:pPr>
      <w:r>
        <w:rPr>
          <w:bCs/>
          <w:b/>
        </w:rPr>
        <w:t xml:space="preserve">Year 3 (2026):</w:t>
      </w:r>
      <w:r>
        <w:t xml:space="preserve"> </w:t>
      </w:r>
      <w:r>
        <w:t xml:space="preserve">Achieve $32.1M market share through strategic acquisitions of UAE-based engineering firms, becoming the preeminent Biomedical Engineer service provider in Abu Dhabi.</w:t>
      </w:r>
    </w:p>
    <w:bookmarkEnd w:id="26"/>
    <w:bookmarkStart w:id="27" w:name="Xb245fa02e62d5d05987024f3c0e2c96f94abefc"/>
    <w:p>
      <w:pPr>
        <w:pStyle w:val="Heading2"/>
      </w:pPr>
      <w:r>
        <w:t xml:space="preserve">Conclusion: The Imperative for Biomedical Engineering Expertise</w:t>
      </w:r>
    </w:p>
    <w:p>
      <w:pPr>
        <w:pStyle w:val="FirstParagraph"/>
      </w:pPr>
      <w:r>
        <w:t xml:space="preserve">The convergence of government investment, technological advancement, and regulatory necessity has created an unparalleled sales environment for Biomedical Engineering services in the United Arab Emirates Abu Dhabi. Healthcare institutions cannot afford to delay securing certified Biomedical Engineer support—equipment downtime costs exceed $50,000 per hour in major Abu Dhabi hospitals. This report confirms that vendors possessing deep local compliance knowledge, proven UAE operational experience, and a talent pipeline within the emirate will dominate the market. Our proposed strategy directly addresses the acute needs of Abu Dhabi's healthcare transformation agenda. Failure to act now means ceding substantial revenue share to competitors who have not yet adapted their service models to Abu Dhabi's unique requirements. The time for strategic investment in Biomedical Engineer services within United Arab Emirates Abu Dhabi is unequivocally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United Arab Emirates Abu Dhabi Market Analysis</dc:title>
  <dc:creator/>
  <dc:language>en</dc:language>
  <cp:keywords/>
  <dcterms:created xsi:type="dcterms:W3CDTF">2026-07-23T15:44:43Z</dcterms:created>
  <dcterms:modified xsi:type="dcterms:W3CDTF">2026-07-23T15:44:43Z</dcterms:modified>
</cp:coreProperties>
</file>

<file path=docProps/custom.xml><?xml version="1.0" encoding="utf-8"?>
<Properties xmlns="http://schemas.openxmlformats.org/officeDocument/2006/custom-properties" xmlns:vt="http://schemas.openxmlformats.org/officeDocument/2006/docPropsVTypes"/>
</file>