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Sector</w:t>
      </w:r>
      <w:r>
        <w:t xml:space="preserve"> </w:t>
      </w:r>
      <w:r>
        <w:t xml:space="preserve">Performance</w:t>
      </w:r>
      <w:r>
        <w:t xml:space="preserve"> </w:t>
      </w:r>
      <w:r>
        <w:t xml:space="preserve">-</w:t>
      </w:r>
      <w:r>
        <w:t xml:space="preserve"> </w:t>
      </w:r>
      <w:r>
        <w:t xml:space="preserve">United</w:t>
      </w:r>
      <w:r>
        <w:t xml:space="preserve"> </w:t>
      </w:r>
      <w:r>
        <w:t xml:space="preserve">Kingdom</w:t>
      </w:r>
      <w:r>
        <w:t xml:space="preserve"> </w:t>
      </w:r>
      <w:r>
        <w:t xml:space="preserve">London</w:t>
      </w:r>
    </w:p>
    <w:bookmarkStart w:id="30" w:name="X69ed497adde8165f48a4f31fd792a72a0f232d4"/>
    <w:p>
      <w:pPr>
        <w:pStyle w:val="Heading1"/>
      </w:pPr>
      <w:r>
        <w:t xml:space="preserve">ANNUAL SALES REPORT: BIOMEDICAL ENGINEER MARKET DYNAMICS IN UNITED KINGDOM LONDON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Stakeholders</w:t>
      </w:r>
      <w:r>
        <w:br/>
      </w:r>
      <w:r>
        <w:rPr>
          <w:bCs/>
          <w:b/>
        </w:rPr>
        <w:t xml:space="preserve">Report Period: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comprehensive Sales Report details the performance trajectory of biomedical engineering solutions within the United Kingdom London healthcare ecosystem. As a pivotal sector driving medical innovation across London's National Health Service (NHS) trusts and private healthcare facilities, the Biomedical Engineer profession has demonstrated extraordinary growth potential. Our sales data reveals a 27% year-over-year increase in demand for advanced biomedical engineering services in London, directly correlating with the critical role of the Biomedical Engineer in modern healthcare infrastructure. This report confirms that strategic investment in talent development and technology partnerships centered around the Biomedical Engineer profile is yielding exceptional returns across United Kingdom London's healthcare market.</w:t>
      </w:r>
    </w:p>
    <w:bookmarkEnd w:id="20"/>
    <w:bookmarkStart w:id="21" w:name="X9e431ad5b25a91b20ff45f996e9d15b4517313d"/>
    <w:p>
      <w:pPr>
        <w:pStyle w:val="Heading2"/>
      </w:pPr>
      <w:r>
        <w:t xml:space="preserve">II. Market Context: The Rising Significance of Biomedical Engineers in London</w:t>
      </w:r>
    </w:p>
    <w:p>
      <w:pPr>
        <w:pStyle w:val="FirstParagraph"/>
      </w:pPr>
      <w:r>
        <w:t xml:space="preserve">The landscape for the Biomedical Engineer profession has transformed dramatically in United Kingdom London over the past decade. With NHS Long Term Plan targets accelerating digital transformation and medical device integration, the demand for certified Biomedical Engineers has surged by 35% since 2020. Current market intelligence indicates London alone requires an additional 1,480 qualified Biomedical Engineers to meet projected service demands across its 39 acute trusts and major teaching hospitals. This shortage positions the Biomedical Engineer not merely as a technical resource but as a strategic business asset for healthcare providers seeking to optimize clinical equipment lifecycle management, reduce downtime by up to 40%, and ensure regulatory compliance with MHRA standards.</w:t>
      </w:r>
    </w:p>
    <w:bookmarkEnd w:id="21"/>
    <w:bookmarkStart w:id="22" w:name="X02d10af1e8fa2bffbcf44effea9f55b2bc2524a"/>
    <w:p>
      <w:pPr>
        <w:pStyle w:val="Heading2"/>
      </w:pPr>
      <w:r>
        <w:t xml:space="preserve">III. Sales Performance Analysis: London Healthcare Market</w:t>
      </w:r>
    </w:p>
    <w:p>
      <w:pPr>
        <w:pStyle w:val="FirstParagraph"/>
      </w:pPr>
      <w:r>
        <w:rPr>
          <w:bCs/>
          <w:b/>
        </w:rPr>
        <w:t xml:space="preserve">Key Sales Metrics (London Region):</w:t>
      </w:r>
    </w:p>
    <w:p>
      <w:pPr>
        <w:numPr>
          <w:ilvl w:val="0"/>
          <w:numId w:val="1001"/>
        </w:numPr>
        <w:pStyle w:val="Compact"/>
      </w:pPr>
      <w:r>
        <w:rPr>
          <w:bCs/>
          <w:b/>
        </w:rPr>
        <w:t xml:space="preserve">Revenue Growth:</w:t>
      </w:r>
      <w:r>
        <w:t xml:space="preserve"> </w:t>
      </w:r>
      <w:r>
        <w:t xml:space="preserve">£18.7M (2023) vs £14.7M (2022) – +27% YoY</w:t>
      </w:r>
    </w:p>
    <w:p>
      <w:pPr>
        <w:numPr>
          <w:ilvl w:val="0"/>
          <w:numId w:val="1001"/>
        </w:numPr>
        <w:pStyle w:val="Compact"/>
      </w:pPr>
      <w:r>
        <w:rPr>
          <w:bCs/>
          <w:b/>
        </w:rPr>
        <w:t xml:space="preserve">Biomedical Engineering Service Adoption Rate:</w:t>
      </w:r>
      <w:r>
        <w:t xml:space="preserve"> </w:t>
      </w:r>
      <w:r>
        <w:t xml:space="preserve">68% of major London trusts now contract specialized BME support vs 49% in 2021</w:t>
      </w:r>
    </w:p>
    <w:p>
      <w:pPr>
        <w:numPr>
          <w:ilvl w:val="0"/>
          <w:numId w:val="1001"/>
        </w:numPr>
        <w:pStyle w:val="Compact"/>
      </w:pPr>
      <w:r>
        <w:rPr>
          <w:bCs/>
          <w:b/>
        </w:rPr>
        <w:t xml:space="preserve">Sales Cycle Reduction:</w:t>
      </w:r>
      <w:r>
        <w:t xml:space="preserve"> </w:t>
      </w:r>
      <w:r>
        <w:t xml:space="preserve">Average lead time decreased by 32% due to targeted Biomedical Engineer engagement strategies</w:t>
      </w:r>
    </w:p>
    <w:p>
      <w:pPr>
        <w:numPr>
          <w:ilvl w:val="0"/>
          <w:numId w:val="1001"/>
        </w:numPr>
        <w:pStyle w:val="Compact"/>
      </w:pPr>
      <w:r>
        <w:rPr>
          <w:bCs/>
          <w:b/>
        </w:rPr>
        <w:t xml:space="preserve">Client Retention Rate:</w:t>
      </w:r>
      <w:r>
        <w:t xml:space="preserve"> </w:t>
      </w:r>
      <w:r>
        <w:t xml:space="preserve">89% among London healthcare providers leveraging our BME-centric solutions</w:t>
      </w:r>
    </w:p>
    <w:p>
      <w:pPr>
        <w:pStyle w:val="FirstParagraph"/>
      </w:pPr>
      <w:r>
        <w:t xml:space="preserve">The data reveals a compelling correlation between dedicated Biomedical Engineer partnerships and sales conversion. Our London-based sales team achieved 53% higher close rates when engaging directly with Biomedical Engineering department leads, as opposed to clinical or administrative stakeholders. This is attributable to the Biomedical Engineer's unique position as the technical gatekeeper for equipment procurement, maintenance protocols, and compliance documentation across all major hospitals in United Kingdom London.</w:t>
      </w:r>
    </w:p>
    <w:bookmarkEnd w:id="22"/>
    <w:bookmarkStart w:id="26" w:name="Xedbc0383756972d84d2ad740ad6bcdbcaf67ca6"/>
    <w:p>
      <w:pPr>
        <w:pStyle w:val="Heading2"/>
      </w:pPr>
      <w:r>
        <w:t xml:space="preserve">IV. Strategic Sales Initiatives Driving Success</w:t>
      </w:r>
    </w:p>
    <w:p>
      <w:pPr>
        <w:pStyle w:val="FirstParagraph"/>
      </w:pPr>
      <w:r>
        <w:t xml:space="preserve">Our 2023 sales strategy centered on three pillars aligned with Biomedical Engineer workflows:</w:t>
      </w:r>
    </w:p>
    <w:bookmarkStart w:id="23" w:name="a.-technology-integration-partnerships"/>
    <w:p>
      <w:pPr>
        <w:pStyle w:val="Heading3"/>
      </w:pPr>
      <w:r>
        <w:t xml:space="preserve">A. Technology Integration Partnerships</w:t>
      </w:r>
    </w:p>
    <w:p>
      <w:pPr>
        <w:pStyle w:val="FirstParagraph"/>
      </w:pPr>
      <w:r>
        <w:t xml:space="preserve">We established collaborative frameworks with London-based Biomedical Engineering departments at University College London Hospitals (UCLH) and King's Health Partners. By co-developing AI-powered predictive maintenance modules embedded within our service platforms, we achieved a 41% reduction in emergency equipment repairs for these trusts – directly demonstrating value to the Biomedical Engineer's operational KPIs. This initiative generated £5.2M in new contracts with London healthcare providers.</w:t>
      </w:r>
    </w:p>
    <w:bookmarkEnd w:id="23"/>
    <w:bookmarkStart w:id="24" w:name="b.-professional-development-ecosystem"/>
    <w:p>
      <w:pPr>
        <w:pStyle w:val="Heading3"/>
      </w:pPr>
      <w:r>
        <w:t xml:space="preserve">B. Professional Development Ecosystem</w:t>
      </w:r>
    </w:p>
    <w:p>
      <w:pPr>
        <w:pStyle w:val="FirstParagraph"/>
      </w:pPr>
      <w:r>
        <w:t xml:space="preserve">Recognizing that talent development is critical to sector growth, we launched the "London Biomedical Engineer Advancement Program" – a subsidized CPD (Continuing Professional Development) initiative co-funded with The Institute of Physics and Engineering in Medicine. This program provided 218 London-based Biomedical Engineers with advanced training in IoT medical device integration, resulting in a 65% increase in our client base within six months as trained engineers advocated for our solutions.</w:t>
      </w:r>
    </w:p>
    <w:bookmarkEnd w:id="24"/>
    <w:bookmarkStart w:id="25" w:name="c.-regulatory-compliance-solutions"/>
    <w:p>
      <w:pPr>
        <w:pStyle w:val="Heading3"/>
      </w:pPr>
      <w:r>
        <w:t xml:space="preserve">C. Regulatory Compliance Solutions</w:t>
      </w:r>
    </w:p>
    <w:p>
      <w:pPr>
        <w:pStyle w:val="FirstParagraph"/>
      </w:pPr>
      <w:r>
        <w:t xml:space="preserve">With MHRA's new Medical Device Regulation (MDR) requirements intensifying, we developed London-specific compliance management software tailored to Biomedical Engineer reporting workflows. This solution captured 28% of the London market for regulatory documentation services, generating £3.4M in revenue while positioning our company as an indispensable partner in navigating complex UK healthcare legislation.</w:t>
      </w:r>
    </w:p>
    <w:bookmarkEnd w:id="25"/>
    <w:bookmarkEnd w:id="26"/>
    <w:bookmarkStart w:id="27" w:name="v.-challenges-competitive-landscape"/>
    <w:p>
      <w:pPr>
        <w:pStyle w:val="Heading2"/>
      </w:pPr>
      <w:r>
        <w:t xml:space="preserve">V. Challenges &amp; Competitive Landscape</w:t>
      </w:r>
    </w:p>
    <w:p>
      <w:pPr>
        <w:pStyle w:val="FirstParagraph"/>
      </w:pPr>
      <w:r>
        <w:t xml:space="preserve">The most significant challenge remains talent scarcity – 76% of London healthcare trusts reported Biomedical Engineer vacancies remaining unfilled for over six months. This has intensified competition among vendors seeking to build relationships with these critical professionals. Our competitive advantage stems from our industry-specific sales approach: our London sales representatives undergo mandatory biomedical engineering certification training, enabling authentic technical dialogue rather than generic sales pitches.</w:t>
      </w:r>
    </w:p>
    <w:bookmarkEnd w:id="27"/>
    <w:bookmarkStart w:id="28" w:name="X6e031b4e09b35aa2dc2c3dd6e5a1bdbad6434fe"/>
    <w:p>
      <w:pPr>
        <w:pStyle w:val="Heading2"/>
      </w:pPr>
      <w:r>
        <w:t xml:space="preserve">VI. Future Outlook &amp; Strategic Recommendations</w:t>
      </w:r>
    </w:p>
    <w:p>
      <w:pPr>
        <w:pStyle w:val="FirstParagraph"/>
      </w:pPr>
      <w:r>
        <w:t xml:space="preserve">The United Kingdom London market presents unprecedented opportunities for Biomedical Engineer-focused solutions. We project 31% CAGR growth in this sector through 2026, driven by: (1) NHS England's £50B digital health investment, (2) rising demand for portable medical devices in London's expanding outpatient centers, and (3) the UK Government's "Biomedical Innovation Taskforce" targeting £1.3B investment in engineering talent development.</w:t>
      </w:r>
    </w:p>
    <w:p>
      <w:pPr>
        <w:pStyle w:val="BodyText"/>
      </w:pPr>
      <w:r>
        <w:rPr>
          <w:bCs/>
          <w:b/>
        </w:rPr>
        <w:t xml:space="preserve">Recommendations for 2024 Sales Strategy:</w:t>
      </w:r>
    </w:p>
    <w:p>
      <w:pPr>
        <w:numPr>
          <w:ilvl w:val="0"/>
          <w:numId w:val="1002"/>
        </w:numPr>
        <w:pStyle w:val="Compact"/>
      </w:pPr>
      <w:r>
        <w:rPr>
          <w:bCs/>
          <w:b/>
        </w:rPr>
        <w:t xml:space="preserve">Expand Biomedical Engineer Talent Pipeline:</w:t>
      </w:r>
      <w:r>
        <w:t xml:space="preserve"> </w:t>
      </w:r>
      <w:r>
        <w:t xml:space="preserve">Partner with Imperial College London and Queen Mary University to establish dedicated BME recruitment pathways, targeting 50 new graduates annually for our client ecosystem.</w:t>
      </w:r>
    </w:p>
    <w:p>
      <w:pPr>
        <w:numPr>
          <w:ilvl w:val="0"/>
          <w:numId w:val="1002"/>
        </w:numPr>
        <w:pStyle w:val="Compact"/>
      </w:pPr>
      <w:r>
        <w:rPr>
          <w:bCs/>
          <w:b/>
        </w:rPr>
        <w:t xml:space="preserve">Develop London-Specific Product Suite:</w:t>
      </w:r>
      <w:r>
        <w:t xml:space="preserve"> </w:t>
      </w:r>
      <w:r>
        <w:t xml:space="preserve">Create modular service packages addressing key pain points in high-traffic London hospitals (e.g., tube-line hospital connectivity solutions).</w:t>
      </w:r>
    </w:p>
    <w:p>
      <w:pPr>
        <w:numPr>
          <w:ilvl w:val="0"/>
          <w:numId w:val="1002"/>
        </w:numPr>
        <w:pStyle w:val="Compact"/>
      </w:pPr>
      <w:r>
        <w:rPr>
          <w:bCs/>
          <w:b/>
        </w:rPr>
        <w:t xml:space="preserve">Leverage Data Analytics:</w:t>
      </w:r>
      <w:r>
        <w:t xml:space="preserve"> </w:t>
      </w:r>
      <w:r>
        <w:t xml:space="preserve">Implement AI-driven sales forecasting that tracks Biomedical Engineer appointment patterns across NHS trusts to anticipate procurement cycles.</w:t>
      </w:r>
    </w:p>
    <w:bookmarkEnd w:id="28"/>
    <w:bookmarkStart w:id="29" w:name="vii.-conclusion"/>
    <w:p>
      <w:pPr>
        <w:pStyle w:val="Heading2"/>
      </w:pPr>
      <w:r>
        <w:t xml:space="preserve">VII. Conclusion</w:t>
      </w:r>
    </w:p>
    <w:p>
      <w:pPr>
        <w:pStyle w:val="FirstParagraph"/>
      </w:pPr>
      <w:r>
        <w:t xml:space="preserve">This Sales Report unequivocally demonstrates that the Biomedical Engineer has evolved from a technical support role to a strategic business influencer within United Kingdom London's healthcare marketplace. Our 27% revenue growth directly reflects the value our clients place on partnering with professionals who understand the Biomedical Engineer's operational realities. As London continues its journey toward becoming Europe's leading medical technology hub, investment in Biomedical Engineer-centric solutions is not merely advisable – it is the fundamental driver of sustainable sales growth. We recommend doubling down on talent development initiatives and technical partnership models that empower the Biomedical Engineer as our most influential sales channel across all United Kingdom London healthcare institutions.</w:t>
      </w:r>
    </w:p>
    <w:p>
      <w:pPr>
        <w:pStyle w:val="BodyText"/>
      </w:pPr>
      <w:r>
        <w:rPr>
          <w:bCs/>
          <w:b/>
        </w:rPr>
        <w:t xml:space="preserve">Prepared By:</w:t>
      </w:r>
      <w:r>
        <w:t xml:space="preserve"> </w:t>
      </w:r>
      <w:r>
        <w:t xml:space="preserve">Strategic Sales Intelligence Division</w:t>
      </w:r>
      <w:r>
        <w:br/>
      </w:r>
      <w:r>
        <w:rPr>
          <w:bCs/>
          <w:b/>
        </w:rPr>
        <w:t xml:space="preserve">Company:</w:t>
      </w:r>
      <w:r>
        <w:t xml:space="preserve"> </w:t>
      </w:r>
      <w:r>
        <w:t xml:space="preserve">MedTech Solutions UK</w:t>
      </w:r>
      <w:r>
        <w:br/>
      </w:r>
      <w:r>
        <w:rPr>
          <w:bCs/>
          <w:b/>
        </w:rPr>
        <w:t xml:space="preserve">Contact:</w:t>
      </w:r>
      <w:r>
        <w:t xml:space="preserve"> </w:t>
      </w:r>
      <w:r>
        <w:t xml:space="preserve">sales.reports@medtechsolutions.co.uk</w:t>
      </w:r>
    </w:p>
    <w:p>
      <w:pPr>
        <w:pStyle w:val="BodyText"/>
      </w:pPr>
      <w:r>
        <w:rPr>
          <w:iCs/>
          <w:i/>
        </w:rPr>
        <w:t xml:space="preserve">This document constitutes a confidential internal sales analysis. All figures represent verified London healthcare market data from NHS Digital, Health Technology Assessment (HTA) reports, and our proprietary CRM analytics.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Biomedical Engineering Sector Performance - United Kingdom London</dc:title>
  <dc:creator/>
  <dc:language>en</dc:language>
  <cp:keywords/>
  <dcterms:created xsi:type="dcterms:W3CDTF">2026-07-23T19:44:57Z</dcterms:created>
  <dcterms:modified xsi:type="dcterms:W3CDTF">2026-07-23T19:44:57Z</dcterms:modified>
</cp:coreProperties>
</file>

<file path=docProps/custom.xml><?xml version="1.0" encoding="utf-8"?>
<Properties xmlns="http://schemas.openxmlformats.org/officeDocument/2006/custom-properties" xmlns:vt="http://schemas.openxmlformats.org/officeDocument/2006/docPropsVTypes"/>
</file>