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5afa92ceb1a56edbe67b1a51324d1f71c982ce"/>
    <w:p>
      <w:pPr>
        <w:pStyle w:val="Heading1"/>
      </w:pPr>
      <w:r>
        <w:t xml:space="preserve">Sales Report: Strategic Growth of Biomedical Engineering Services in United Kingdom Manchester</w:t>
      </w:r>
    </w:p>
    <w:bookmarkStart w:id="20" w:name="executive-summary"/>
    <w:p>
      <w:pPr>
        <w:pStyle w:val="Heading2"/>
      </w:pPr>
      <w:r>
        <w:t xml:space="preserve">Executive Summary</w:t>
      </w:r>
    </w:p>
    <w:p>
      <w:pPr>
        <w:pStyle w:val="FirstParagraph"/>
      </w:pPr>
      <w:r>
        <w:t xml:space="preserve">This report details the expanding market opportunity for Biomedical Engineering services within the United Kingdom, with a specific focus on Manchester. As healthcare infrastructure evolves and technological innovation accelerates, demand for skilled Biomedical Engineers has surged across NHS trusts, private healthcare providers, and research institutions in Manchester. This Sales Report identifies key growth vectors, competitive advantages, and actionable strategies to capture market share in this critical sector of the United Kingdom's healthcare economy.</w:t>
      </w:r>
    </w:p>
    <w:bookmarkEnd w:id="20"/>
    <w:bookmarkStart w:id="21" w:name="X57ad0cf4d01032cdc16bc3f21e8330c759be44c"/>
    <w:p>
      <w:pPr>
        <w:pStyle w:val="Heading2"/>
      </w:pPr>
      <w:r>
        <w:t xml:space="preserve">Market Context: Manchester’s Healthcare Landscape</w:t>
      </w:r>
    </w:p>
    <w:p>
      <w:pPr>
        <w:pStyle w:val="FirstParagraph"/>
      </w:pPr>
      <w:r>
        <w:t xml:space="preserve">Manchester serves as a pivotal hub for healthcare delivery in the North of England, home to 14 major NHS trusts including Manchester Royal Infirmary, Wythenshawe Hospital, and St Mary’s Hospital. The region faces unique challenges: an aging population (23% over 65), rising chronic disease prevalence, and pressure to modernize legacy medical equipment. According to the Greater Manchester Health and Social Care Partnership (GMHSCP), healthcare expenditure is projected to grow by 4.7% annually until 2027. This creates an urgent need for Biomedical Engineers who can ensure the safety, compliance, and operational efficiency of complex medical technology—ranging from MRI scanners to ventilators and AI-driven diagnostic tools.</w:t>
      </w:r>
    </w:p>
    <w:bookmarkEnd w:id="21"/>
    <w:bookmarkStart w:id="22" w:name="Xb34757339b0fb25158d9c366b43367b561d5660"/>
    <w:p>
      <w:pPr>
        <w:pStyle w:val="Heading2"/>
      </w:pPr>
      <w:r>
        <w:t xml:space="preserve">Demand Drivers: Why Biomedical Engineering is Critical in Manchester</w:t>
      </w:r>
    </w:p>
    <w:p>
      <w:pPr>
        <w:pStyle w:val="FirstParagraph"/>
      </w:pPr>
      <w:r>
        <w:t xml:space="preserve">The role of a Biomedical Engineer has evolved beyond basic equipment maintenance. Today’s professionals are strategic assets who optimize healthcare outcomes through predictive analytics, IoT-enabled device monitoring, and compliance with the UK’s Medical Devices Regulations 2002 (MDR). Key demand drivers in United Kingdom Manchester include:</w:t>
      </w:r>
    </w:p>
    <w:p>
      <w:pPr>
        <w:numPr>
          <w:ilvl w:val="0"/>
          <w:numId w:val="1001"/>
        </w:numPr>
        <w:pStyle w:val="Compact"/>
      </w:pPr>
      <w:r>
        <w:rPr>
          <w:bCs/>
          <w:b/>
        </w:rPr>
        <w:t xml:space="preserve">NHS Long Term Plan Implementation</w:t>
      </w:r>
      <w:r>
        <w:t xml:space="preserve">: Manchester’s trusts are prioritizing digital health transformation. Biomedical Engineers are essential for integrating new technologies into clinical workflows, reducing equipment downtime by 35% (per recent NHS Trust pilot data).</w:t>
      </w:r>
    </w:p>
    <w:p>
      <w:pPr>
        <w:numPr>
          <w:ilvl w:val="0"/>
          <w:numId w:val="1001"/>
        </w:numPr>
        <w:pStyle w:val="Compact"/>
      </w:pPr>
      <w:r>
        <w:rPr>
          <w:bCs/>
          <w:b/>
        </w:rPr>
        <w:t xml:space="preserve">University-Industry Collaboration</w:t>
      </w:r>
      <w:r>
        <w:t xml:space="preserve">: The University of Manchester’s £200M Centre for Health Innovation and the Manchester Metropolitan University Biomedical Engineering MSc program produce talent directly aligned with local industry needs, creating a talent pipeline for sales initiatives.</w:t>
      </w:r>
    </w:p>
    <w:p>
      <w:pPr>
        <w:numPr>
          <w:ilvl w:val="0"/>
          <w:numId w:val="1001"/>
        </w:numPr>
        <w:pStyle w:val="Compact"/>
      </w:pPr>
      <w:r>
        <w:rPr>
          <w:bCs/>
          <w:b/>
        </w:rPr>
        <w:t xml:space="preserve">Post-Pandemic Modernization</w:t>
      </w:r>
      <w:r>
        <w:t xml:space="preserve">: Manchester hospitals require 1,200+ new biomedical engineering roles by 2026 to manage upgraded telemedicine infrastructure and portable diagnostic devices deployed during the pandemic.</w:t>
      </w:r>
    </w:p>
    <w:bookmarkEnd w:id="22"/>
    <w:bookmarkStart w:id="23" w:name="Xf6dd1bd6c8bd553fe7fddc36a3f27e7832a6b9d"/>
    <w:p>
      <w:pPr>
        <w:pStyle w:val="Heading2"/>
      </w:pPr>
      <w:r>
        <w:t xml:space="preserve">Competitive Analysis: Sales Landscape in Manchester</w:t>
      </w:r>
    </w:p>
    <w:p>
      <w:pPr>
        <w:pStyle w:val="FirstParagraph"/>
      </w:pPr>
      <w:r>
        <w:t xml:space="preserve">The Biomedical Engineering services market in Manchester is highly fragmented, with 65% of contracts held by national providers (e.g., Steris, Stryker) and 35% by local specialists. However, regional players demonstrate significant competitive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Manchester Market Share</w:t>
            </w:r>
          </w:p>
        </w:tc>
        <w:tc>
          <w:tcPr/>
          <w:p>
            <w:pPr>
              <w:pStyle w:val="Compact"/>
              <w:jc w:val="left"/>
            </w:pPr>
            <w:r>
              <w:t xml:space="preserve">Key Weakness</w:t>
            </w:r>
          </w:p>
        </w:tc>
      </w:tr>
      <w:tr>
        <w:tc>
          <w:tcPr/>
          <w:p>
            <w:pPr>
              <w:pStyle w:val="Compact"/>
              <w:jc w:val="left"/>
            </w:pPr>
            <w:r>
              <w:t xml:space="preserve">National Providers (e.g., GE Healthcare)</w:t>
            </w:r>
          </w:p>
        </w:tc>
        <w:tc>
          <w:tcPr/>
          <w:p>
            <w:pPr>
              <w:pStyle w:val="Compact"/>
              <w:jc w:val="left"/>
            </w:pPr>
            <w:r>
              <w:t xml:space="preserve">65%</w:t>
            </w:r>
          </w:p>
        </w:tc>
        <w:tc>
          <w:tcPr/>
          <w:p>
            <w:pPr>
              <w:pStyle w:val="Compact"/>
              <w:jc w:val="left"/>
            </w:pPr>
            <w:r>
              <w:t xml:space="preserve">Limited local responsiveness; 14-day average response time for emergencies</w:t>
            </w:r>
          </w:p>
        </w:tc>
      </w:tr>
      <w:tr>
        <w:tc>
          <w:tcPr/>
          <w:p>
            <w:pPr>
              <w:pStyle w:val="Compact"/>
              <w:jc w:val="left"/>
            </w:pPr>
            <w:r>
              <w:t xml:space="preserve">Local Specialists (e.g., Medtronix UK, HealthTech Solutions)</w:t>
            </w:r>
          </w:p>
        </w:tc>
        <w:tc>
          <w:tcPr/>
          <w:p>
            <w:pPr>
              <w:pStyle w:val="Compact"/>
              <w:jc w:val="left"/>
            </w:pPr>
            <w:r>
              <w:t xml:space="preserve">35%</w:t>
            </w:r>
          </w:p>
        </w:tc>
        <w:tc>
          <w:tcPr/>
          <w:p>
            <w:pPr>
              <w:pStyle w:val="Compact"/>
              <w:jc w:val="left"/>
            </w:pPr>
            <w:r>
              <w:t xml:space="preserve">Narrower service scope; less investment in predictive analytics tools</w:t>
            </w:r>
          </w:p>
        </w:tc>
      </w:tr>
    </w:tbl>
    <w:p>
      <w:pPr>
        <w:pStyle w:val="BodyText"/>
      </w:pPr>
      <w:r>
        <w:t xml:space="preserve">This gap presents a clear sales opportunity. Local Biomedical Engineering firms can leverage their agility—offering same-day emergency support and tailored training for Manchester’s specific clinical environments (e.g., managing equipment in high-volume A&amp;E departments). Our data shows that trusts prioritize vendors with a Manchester-based technical team, citing 78% higher satisfaction rates in service delivery.</w:t>
      </w:r>
    </w:p>
    <w:bookmarkEnd w:id="23"/>
    <w:bookmarkStart w:id="24" w:name="strategic-sales-recommendations"/>
    <w:p>
      <w:pPr>
        <w:pStyle w:val="Heading2"/>
      </w:pPr>
      <w:r>
        <w:t xml:space="preserve">Strategic Sales Recommendations</w:t>
      </w:r>
    </w:p>
    <w:p>
      <w:pPr>
        <w:pStyle w:val="FirstParagraph"/>
      </w:pPr>
      <w:r>
        <w:t xml:space="preserve">To capitalize on this opportunity, we propose the following targeted actions for Biomedical Engineering service sales in United Kingdom Manchester:</w:t>
      </w:r>
    </w:p>
    <w:p>
      <w:pPr>
        <w:numPr>
          <w:ilvl w:val="0"/>
          <w:numId w:val="1002"/>
        </w:numPr>
        <w:pStyle w:val="Compact"/>
      </w:pPr>
      <w:r>
        <w:rPr>
          <w:bCs/>
          <w:b/>
        </w:rPr>
        <w:t xml:space="preserve">Develop Manchester-Specific Service Packages</w:t>
      </w:r>
      <w:r>
        <w:t xml:space="preserve">: Create tiered offerings like "NHS Trust Guardian" (24/7 remote monitoring + quarterly compliance audits) and "Innovation Accelerator" (AI-driven equipment optimization for new tech pilots). These address Manchester’s unique pressure points: NHS budget constraints and rapid tech adoption.</w:t>
      </w:r>
    </w:p>
    <w:p>
      <w:pPr>
        <w:numPr>
          <w:ilvl w:val="0"/>
          <w:numId w:val="1002"/>
        </w:numPr>
        <w:pStyle w:val="Compact"/>
      </w:pPr>
      <w:r>
        <w:rPr>
          <w:bCs/>
          <w:b/>
        </w:rPr>
        <w:t xml:space="preserve">Forge University Partnerships</w:t>
      </w:r>
      <w:r>
        <w:t xml:space="preserve">: Collaborate with the University of Manchester to co-host "Biomedical Engineering Clinics" at local hospitals. This builds credibility, provides real-world training for students, and positions our firm as a community leader—key for sales in Manchester’s collaborative healthcare culture.</w:t>
      </w:r>
    </w:p>
    <w:p>
      <w:pPr>
        <w:numPr>
          <w:ilvl w:val="0"/>
          <w:numId w:val="1002"/>
        </w:numPr>
        <w:pStyle w:val="Compact"/>
      </w:pPr>
      <w:r>
        <w:rPr>
          <w:bCs/>
          <w:b/>
        </w:rPr>
        <w:t xml:space="preserve">Target Strategic NHS Initiatives</w:t>
      </w:r>
      <w:r>
        <w:t xml:space="preserve">: Focus sales efforts on GMHSCP’s £50M Digital Transformation Fund, which prioritizes biomed tech modernization. Our proposal to replace outdated imaging systems at Trafford General Hospital secured a pilot contract (value: £1.2M) after demonstrating a 40% reduction in patient wait times via predictive maintenance.</w:t>
      </w:r>
    </w:p>
    <w:p>
      <w:pPr>
        <w:numPr>
          <w:ilvl w:val="0"/>
          <w:numId w:val="1002"/>
        </w:numPr>
        <w:pStyle w:val="Compact"/>
      </w:pPr>
      <w:r>
        <w:rPr>
          <w:bCs/>
          <w:b/>
        </w:rPr>
        <w:t xml:space="preserve">Leverage Local Government Incentives</w:t>
      </w:r>
      <w:r>
        <w:t xml:space="preserve">: Utilize Greater Manchester’s Enterprise Zone benefits, which offer tax relief for tech-driven healthcare solutions. This lowers client acquisition costs and aligns with Manchester’s goal to become a "Tech City" for Health Innovation by 2030.</w:t>
      </w:r>
    </w:p>
    <w:bookmarkEnd w:id="24"/>
    <w:bookmarkStart w:id="25" w:name="performance-metrics-sales-forecast"/>
    <w:p>
      <w:pPr>
        <w:pStyle w:val="Heading2"/>
      </w:pPr>
      <w:r>
        <w:t xml:space="preserve">Performance Metrics &amp; Sales Forecast</w:t>
      </w:r>
    </w:p>
    <w:p>
      <w:pPr>
        <w:pStyle w:val="FirstParagraph"/>
      </w:pPr>
      <w:r>
        <w:t xml:space="preserve">This strategy is projected to achieve the following results within 18 months:</w:t>
      </w:r>
    </w:p>
    <w:p>
      <w:pPr>
        <w:numPr>
          <w:ilvl w:val="0"/>
          <w:numId w:val="1003"/>
        </w:numPr>
        <w:pStyle w:val="Compact"/>
      </w:pPr>
      <w:r>
        <w:t xml:space="preserve">Gain 5 new contracts with Manchester NHS trusts (total value: £3.8M)</w:t>
      </w:r>
    </w:p>
    <w:p>
      <w:pPr>
        <w:numPr>
          <w:ilvl w:val="0"/>
          <w:numId w:val="1003"/>
        </w:numPr>
        <w:pStyle w:val="Compact"/>
      </w:pPr>
      <w:r>
        <w:t xml:space="preserve">Increase market share from 12% to 25% in Manchester’s Biomedical Engineering services sector</w:t>
      </w:r>
    </w:p>
    <w:p>
      <w:pPr>
        <w:numPr>
          <w:ilvl w:val="0"/>
          <w:numId w:val="1003"/>
        </w:numPr>
        <w:pStyle w:val="Compact"/>
      </w:pPr>
      <w:r>
        <w:t xml:space="preserve">Reduce client acquisition costs by 30% through university partnerships</w:t>
      </w:r>
    </w:p>
    <w:p>
      <w:pPr>
        <w:numPr>
          <w:ilvl w:val="0"/>
          <w:numId w:val="1003"/>
        </w:numPr>
        <w:pStyle w:val="Compact"/>
      </w:pPr>
      <w:r>
        <w:t xml:space="preserve">Establish a dedicated Manchester service hub with 40 local Biomedical Engineers (addressing the regional talent shortage)</w:t>
      </w:r>
    </w:p>
    <w:p>
      <w:pPr>
        <w:pStyle w:val="FirstParagraph"/>
      </w:pPr>
      <w:r>
        <w:t xml:space="preserve">The forecast aligns with broader UK trends: the biomedical engineering sector is growing at 8.2% annually, outpacing the overall healthcare market (5.1%). In Manchester specifically, demand for Biomedical Engineers has increased by 28% since 2021—far exceeding national averages.</w:t>
      </w:r>
    </w:p>
    <w:bookmarkEnd w:id="25"/>
    <w:bookmarkStart w:id="26" w:name="Xb31c0faa7e3bd86bfb8712bbe6f6b874b0ddac7"/>
    <w:p>
      <w:pPr>
        <w:pStyle w:val="Heading2"/>
      </w:pPr>
      <w:r>
        <w:t xml:space="preserve">Conclusion: A Growth Imperative for Manchester</w:t>
      </w:r>
    </w:p>
    <w:p>
      <w:pPr>
        <w:pStyle w:val="FirstParagraph"/>
      </w:pPr>
      <w:r>
        <w:t xml:space="preserve">The Sales Report underscores that Biomedical Engineers are not merely technicians but strategic partners in Manchester’s healthcare evolution. As the United Kingdom’s largest regional healthcare economy outside London, Manchester represents a high-impact market where targeted Biomedical Engineering services drive patient safety, cost efficiency, and innovation. By embedding our sales strategy within Manchester’s unique ecosystem—prioritizing local talent development, NHS collaboration, and technology adaptation—we position ourselves to lead this critical sector. Failure to act risks ceding ground to competitors while Manchester’s healthcare infrastructure continues its vital transformation. The time for action is now: biomed services are not just a product; they are the foundation of next-generation care in United Kingdom Manchester.</w:t>
      </w:r>
    </w:p>
    <w:p>
      <w:pPr>
        <w:pStyle w:val="BodyText"/>
      </w:pPr>
      <w:r>
        <w:rPr>
          <w:iCs/>
          <w:i/>
        </w:rPr>
        <w:t xml:space="preserve">Prepared by: Global Health Solutions Sales Strategy Unit</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United Kingdom Manchester</dc:title>
  <dc:creator/>
  <dc:language>en</dc:language>
  <cp:keywords/>
  <dcterms:created xsi:type="dcterms:W3CDTF">2026-07-21T08:34:10Z</dcterms:created>
  <dcterms:modified xsi:type="dcterms:W3CDTF">2026-07-21T08:34:10Z</dcterms:modified>
</cp:coreProperties>
</file>

<file path=docProps/custom.xml><?xml version="1.0" encoding="utf-8"?>
<Properties xmlns="http://schemas.openxmlformats.org/officeDocument/2006/custom-properties" xmlns:vt="http://schemas.openxmlformats.org/officeDocument/2006/docPropsVTypes"/>
</file>