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6acfcf098a2456cbe01a47a1023637178354e4"/>
    <w:p>
      <w:pPr>
        <w:pStyle w:val="Heading1"/>
      </w:pPr>
      <w:r>
        <w:t xml:space="preserve">Sales Report: Biomedical Engineering Sector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BioMed Innovations Group</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exceptional performance of our Biomedical Engineering division within United States San Francisco. The region demonstrated a remarkable 28% year-over-year growth in contract acquisitions, solidifying San Francisco's position as the epicenter of biomedical innovation in the Western United States. With demand surging for advanced medical device integration and healthcare technology solutions, our team of skilled Biomedical Engineer professionals has driven unprecedented revenue growth. This Sales Report confirms that strategic investments in specialized talent within United States San Francisco have yielded substantial market advantages.</w:t>
      </w:r>
    </w:p>
    <w:bookmarkEnd w:id="20"/>
    <w:bookmarkStart w:id="21" w:name="Xaeed677174d50b444699956afa56f69d38bdc12"/>
    <w:p>
      <w:pPr>
        <w:pStyle w:val="Heading2"/>
      </w:pPr>
      <w:r>
        <w:t xml:space="preserve">Market Context: San Francisco as Biomedical Engineering Hub</w:t>
      </w:r>
    </w:p>
    <w:p>
      <w:pPr>
        <w:pStyle w:val="FirstParagraph"/>
      </w:pPr>
      <w:r>
        <w:t xml:space="preserve">San Francisco continues to dominate the United States biomedical engineering landscape, hosting 37% of all major medical device R&amp;D centers and attracting 68% of venture capital funding in healthcare technology. As a global innovation hub, the city's proximity to Stanford University, UCSF Medical Center, and leading biotech clusters creates a unique ecosystem where cutting-edge research meets commercial application. This environment directly fuels demand for expert Biomedical Engineer professionals who can bridge clinical needs with engineering solutions. The United States San Francisco market now represents 42% of our national revenue portfolio – a position cemented by our strategic talent acquisition initiatives.</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sales reached $14.7M (vs. $11.5M in Q3 2022), with a 46% increase in enterprise contracts signed with major healthcare systems including UCSF Health and Stanford Hospital.</w:t>
      </w:r>
    </w:p>
    <w:p>
      <w:pPr>
        <w:pStyle w:val="BodyText"/>
      </w:pPr>
      <w:r>
        <w:rPr>
          <w:bCs/>
          <w:b/>
        </w:rPr>
        <w:t xml:space="preserve">Key Product Lines Driving Sales:</w:t>
      </w:r>
    </w:p>
    <w:p>
      <w:pPr>
        <w:numPr>
          <w:ilvl w:val="0"/>
          <w:numId w:val="1001"/>
        </w:numPr>
        <w:pStyle w:val="Compact"/>
      </w:pPr>
      <w:r>
        <w:rPr>
          <w:bCs/>
          <w:b/>
        </w:rPr>
        <w:t xml:space="preserve">AI-Integrated Medical Devices (65% of revenue):</w:t>
      </w:r>
      <w:r>
        <w:t xml:space="preserve"> </w:t>
      </w:r>
      <w:r>
        <w:t xml:space="preserve">$9.6M from contracts developing predictive analytics for cardiovascular monitoring systems.</w:t>
      </w:r>
    </w:p>
    <w:p>
      <w:pPr>
        <w:numPr>
          <w:ilvl w:val="0"/>
          <w:numId w:val="1001"/>
        </w:numPr>
        <w:pStyle w:val="Compact"/>
      </w:pPr>
      <w:r>
        <w:rPr>
          <w:bCs/>
          <w:b/>
        </w:rPr>
        <w:t xml:space="preserve">Laboratory Automation Solutions (22% of revenue):</w:t>
      </w:r>
      <w:r>
        <w:t xml:space="preserve"> </w:t>
      </w:r>
      <w:r>
        <w:t xml:space="preserve">$3.2M from robotic diagnostic platforms adopted by 14 biotech firms in San Francisco Bay Area.</w:t>
      </w:r>
    </w:p>
    <w:p>
      <w:pPr>
        <w:numPr>
          <w:ilvl w:val="0"/>
          <w:numId w:val="1001"/>
        </w:numPr>
        <w:pStyle w:val="Compact"/>
      </w:pPr>
      <w:r>
        <w:rPr>
          <w:bCs/>
          <w:b/>
        </w:rPr>
        <w:t xml:space="preserve">Telehealth Engineering Services (13% of revenue):</w:t>
      </w:r>
      <w:r>
        <w:t xml:space="preserve"> </w:t>
      </w:r>
      <w:r>
        <w:t xml:space="preserve">$1.9M from remote patient monitoring system deployments across rural clinics.</w:t>
      </w:r>
    </w:p>
    <w:p>
      <w:pPr>
        <w:pStyle w:val="FirstParagraph"/>
      </w:pPr>
      <w:r>
        <w:rPr>
          <w:bCs/>
          <w:b/>
        </w:rPr>
        <w:t xml:space="preserve">Sales Velocity:</w:t>
      </w:r>
      <w:r>
        <w:t xml:space="preserve"> </w:t>
      </w:r>
      <w:r>
        <w:t xml:space="preserve">Average contract cycle shortened by 34 days compared to 2022, directly attributable to our Biomedical Engineer team's clinical domain expertise enabling faster solution customization. In San Francisco specifically, sales conversion rates improved from 18% to 31% as healthcare providers recognized our engineers' deep understanding of hospital workflows.</w:t>
      </w:r>
    </w:p>
    <w:bookmarkEnd w:id="22"/>
    <w:bookmarkStart w:id="23" w:name="Xbd2b3dd756d2f81dc4e720f42da98b388afe8c7"/>
    <w:p>
      <w:pPr>
        <w:pStyle w:val="Heading2"/>
      </w:pPr>
      <w:r>
        <w:t xml:space="preserve">Biomedical Engineer Talent Impact Analysis</w:t>
      </w:r>
    </w:p>
    <w:p>
      <w:pPr>
        <w:pStyle w:val="FirstParagraph"/>
      </w:pPr>
      <w:r>
        <w:t xml:space="preserve">The strategic deployment of Biomedical Engineer professionals in United States San Francisco has been the catalyst for this growth. Our regional team (87 engineers) achieved a 92% client retention rate – significantly above the industry average of 73%. Key factors include:</w:t>
      </w:r>
    </w:p>
    <w:p>
      <w:pPr>
        <w:numPr>
          <w:ilvl w:val="0"/>
          <w:numId w:val="1002"/>
        </w:numPr>
        <w:pStyle w:val="Compact"/>
      </w:pPr>
      <w:r>
        <w:rPr>
          <w:bCs/>
          <w:b/>
        </w:rPr>
        <w:t xml:space="preserve">Regulatory Navigation Expertise:</w:t>
      </w:r>
      <w:r>
        <w:t xml:space="preserve"> </w:t>
      </w:r>
      <w:r>
        <w:t xml:space="preserve">Engineers with FDA clearance experience accelerated compliance approvals by 50%, directly enabling faster product launches.</w:t>
      </w:r>
    </w:p>
    <w:p>
      <w:pPr>
        <w:numPr>
          <w:ilvl w:val="0"/>
          <w:numId w:val="1002"/>
        </w:numPr>
        <w:pStyle w:val="Compact"/>
      </w:pPr>
      <w:r>
        <w:rPr>
          <w:bCs/>
          <w:b/>
        </w:rPr>
        <w:t xml:space="preserve">Clinical Collaboration:</w:t>
      </w:r>
      <w:r>
        <w:t xml:space="preserve"> </w:t>
      </w:r>
      <w:r>
        <w:t xml:space="preserve">On-site Biomedical Engineer participation reduced project scope changes by 63% through early clinician input during design phases.</w:t>
      </w:r>
    </w:p>
    <w:p>
      <w:pPr>
        <w:numPr>
          <w:ilvl w:val="0"/>
          <w:numId w:val="1002"/>
        </w:numPr>
        <w:pStyle w:val="Compact"/>
      </w:pPr>
      <w:r>
        <w:rPr>
          <w:bCs/>
          <w:b/>
        </w:rPr>
        <w:t xml:space="preserve">Tech Integration Prowess:</w:t>
      </w:r>
      <w:r>
        <w:t xml:space="preserve"> </w:t>
      </w:r>
      <w:r>
        <w:t xml:space="preserve">Our San Francisco engineers pioneered the integration of wearables with EHR systems, generating $5.8M in new revenue streams.</w:t>
      </w:r>
    </w:p>
    <w:p>
      <w:pPr>
        <w:pStyle w:val="FirstParagraph"/>
      </w:pPr>
      <w:r>
        <w:t xml:space="preserve">Notably, 89% of new contracts were secured through engineer-led client workshops – demonstrating how our Biomedical Engineer specialists drive value beyond technical execution to strategic partnership development.</w:t>
      </w:r>
    </w:p>
    <w:bookmarkEnd w:id="23"/>
    <w:bookmarkStart w:id="24" w:name="Xf5394e6c0648218daf366a5c6e7a2f267eccc3e"/>
    <w:p>
      <w:pPr>
        <w:pStyle w:val="Heading2"/>
      </w:pPr>
      <w:r>
        <w:t xml:space="preserve">Regional Market Trends &amp; Competitive Landscape</w:t>
      </w:r>
    </w:p>
    <w:p>
      <w:pPr>
        <w:pStyle w:val="FirstParagraph"/>
      </w:pPr>
      <w:r>
        <w:t xml:space="preserve">The United States San Francisco market is experiencing three critical shifts impacting sales strategy:</w:t>
      </w:r>
    </w:p>
    <w:p>
      <w:pPr>
        <w:numPr>
          <w:ilvl w:val="0"/>
          <w:numId w:val="1003"/>
        </w:numPr>
        <w:pStyle w:val="Compact"/>
      </w:pPr>
      <w:r>
        <w:rPr>
          <w:bCs/>
          <w:b/>
        </w:rPr>
        <w:t xml:space="preserve">AI-Driven Personalization Demand:</w:t>
      </w:r>
      <w:r>
        <w:t xml:space="preserve"> </w:t>
      </w:r>
      <w:r>
        <w:t xml:space="preserve">76% of healthcare institutions now require AI-enhanced medical devices. Our Biomedical Engineer team developed the "PrecisionCare" platform that captures 41% of this emerging market in San Francisco.</w:t>
      </w:r>
    </w:p>
    <w:p>
      <w:pPr>
        <w:numPr>
          <w:ilvl w:val="0"/>
          <w:numId w:val="1003"/>
        </w:numPr>
        <w:pStyle w:val="Compact"/>
      </w:pPr>
      <w:r>
        <w:rPr>
          <w:bCs/>
          <w:b/>
        </w:rPr>
        <w:t xml:space="preserve">Supply Chain Resilience Focus:</w:t>
      </w:r>
      <w:r>
        <w:t xml:space="preserve"> </w:t>
      </w:r>
      <w:r>
        <w:t xml:space="preserve">Post-pandemic, clients prioritize local engineering talent. Our San Francisco-based Biomedical Engineer team reduced component sourcing timelines by 47% through regional supplier partnerships.</w:t>
      </w:r>
    </w:p>
    <w:p>
      <w:pPr>
        <w:numPr>
          <w:ilvl w:val="0"/>
          <w:numId w:val="1003"/>
        </w:numPr>
        <w:pStyle w:val="Compact"/>
      </w:pPr>
      <w:r>
        <w:rPr>
          <w:bCs/>
          <w:b/>
        </w:rPr>
        <w:t xml:space="preserve">Regulatory Pressure:</w:t>
      </w:r>
      <w:r>
        <w:t xml:space="preserve"> </w:t>
      </w:r>
      <w:r>
        <w:t xml:space="preserve">FDA's new Digital Health Software Precertification Program has created demand for engineers with specialized compliance knowledge – an area where our United States San Francisco division holds a 3:1 advantage over competitors.</w:t>
      </w:r>
    </w:p>
    <w:p>
      <w:pPr>
        <w:pStyle w:val="FirstParagraph"/>
      </w:pPr>
      <w:r>
        <w:t xml:space="preserve">Competitor analysis reveals that companies without dedicated Biomedical Engineer resources in San Francisco face significant disadvantages. Local competitors like MedTech Dynamics (based in Boston) have struggled to secure contracts requiring deep understanding of California healthcare regulations – an expertise our San Francisco Biomedical Engineer team possesses through daily interaction with state health departments.</w:t>
      </w:r>
    </w:p>
    <w:bookmarkEnd w:id="24"/>
    <w:bookmarkStart w:id="25" w:name="challenges-strategic-imperatives"/>
    <w:p>
      <w:pPr>
        <w:pStyle w:val="Heading2"/>
      </w:pPr>
      <w:r>
        <w:t xml:space="preserve">Challenges &amp; Strategic Imperatives</w:t>
      </w:r>
    </w:p>
    <w:p>
      <w:pPr>
        <w:pStyle w:val="FirstParagraph"/>
      </w:pPr>
      <w:r>
        <w:t xml:space="preserve">Despite strong performance, three challenges require immediate attention:</w:t>
      </w:r>
    </w:p>
    <w:p>
      <w:pPr>
        <w:numPr>
          <w:ilvl w:val="0"/>
          <w:numId w:val="1004"/>
        </w:numPr>
        <w:pStyle w:val="Compact"/>
      </w:pPr>
      <w:r>
        <w:rPr>
          <w:bCs/>
          <w:b/>
        </w:rPr>
        <w:t xml:space="preserve">Talent Competition:</w:t>
      </w:r>
      <w:r>
        <w:t xml:space="preserve"> </w:t>
      </w:r>
      <w:r>
        <w:t xml:space="preserve">San Francisco's biotech boom has increased Biomedical Engineer salary demands by 19% YoY. We must enhance our retention program to protect our top talent.</w:t>
      </w:r>
    </w:p>
    <w:p>
      <w:pPr>
        <w:numPr>
          <w:ilvl w:val="0"/>
          <w:numId w:val="1004"/>
        </w:numPr>
        <w:pStyle w:val="Compact"/>
      </w:pPr>
      <w:r>
        <w:rPr>
          <w:bCs/>
          <w:b/>
        </w:rPr>
        <w:t xml:space="preserve">Regulatory Fragmentation:</w:t>
      </w:r>
      <w:r>
        <w:t xml:space="preserve"> </w:t>
      </w:r>
      <w:r>
        <w:t xml:space="preserve">California's unique health data laws (CCPA, CalOPPA) require specialized engineering protocols not needed in other regions.</w:t>
      </w:r>
    </w:p>
    <w:p>
      <w:pPr>
        <w:numPr>
          <w:ilvl w:val="0"/>
          <w:numId w:val="1004"/>
        </w:numPr>
        <w:pStyle w:val="Compact"/>
      </w:pPr>
      <w:r>
        <w:rPr>
          <w:bCs/>
          <w:b/>
        </w:rPr>
        <w:t xml:space="preserve">Startup Integration:</w:t>
      </w:r>
      <w:r>
        <w:t xml:space="preserve"> </w:t>
      </w:r>
      <w:r>
        <w:t xml:space="preserve">32% of new opportunities come from early-stage biotech firms needing affordable engineering support – a segment where we currently capture only 15% of potential revenue.</w:t>
      </w:r>
    </w:p>
    <w:p>
      <w:pPr>
        <w:pStyle w:val="FirstParagraph"/>
      </w:pPr>
      <w:r>
        <w:t xml:space="preserve">To address these, our proposed strategy includes:</w:t>
      </w:r>
    </w:p>
    <w:p>
      <w:pPr>
        <w:numPr>
          <w:ilvl w:val="0"/>
          <w:numId w:val="1005"/>
        </w:numPr>
        <w:pStyle w:val="Compact"/>
      </w:pPr>
      <w:r>
        <w:t xml:space="preserve">Establishing a Biomedical Engineer "San Francisco Innovation Lab" to accelerate R&amp;D for California-specific solutions</w:t>
      </w:r>
    </w:p>
    <w:p>
      <w:pPr>
        <w:numPr>
          <w:ilvl w:val="0"/>
          <w:numId w:val="1005"/>
        </w:numPr>
        <w:pStyle w:val="Compact"/>
      </w:pPr>
      <w:r>
        <w:t xml:space="preserve">Creating tiered service packages targeting startup clients at 20% lower entry pricing</w:t>
      </w:r>
    </w:p>
    <w:p>
      <w:pPr>
        <w:numPr>
          <w:ilvl w:val="0"/>
          <w:numId w:val="1005"/>
        </w:numPr>
        <w:pStyle w:val="Compact"/>
      </w:pPr>
      <w:r>
        <w:t xml:space="preserve">Forming partnerships with local universities (UC Berkeley, San Francisco State) for talent pipeline development</w:t>
      </w:r>
    </w:p>
    <w:bookmarkEnd w:id="25"/>
    <w:bookmarkStart w:id="26" w:name="conclusion-forward-outlook"/>
    <w:p>
      <w:pPr>
        <w:pStyle w:val="Heading2"/>
      </w:pPr>
      <w:r>
        <w:t xml:space="preserve">Conclusion &amp; Forward Outlook</w:t>
      </w:r>
    </w:p>
    <w:p>
      <w:pPr>
        <w:pStyle w:val="FirstParagraph"/>
      </w:pPr>
      <w:r>
        <w:t xml:space="preserve">This Sales Report unequivocally demonstrates that strategic investment in Biomedical Engineer talent within United States San Francisco delivers outsized returns. The region's concentration of healthcare innovation institutions, regulatory expertise requirements, and venture capital ecosystem creates an unparalleled environment for our specialty services. As the global demand for integrated medical technology solutions accelerates, our San Francisco Biomedical Engineer team will remain the cornerstone of growth.</w:t>
      </w:r>
    </w:p>
    <w:p>
      <w:pPr>
        <w:pStyle w:val="BodyText"/>
      </w:pPr>
      <w:r>
        <w:t xml:space="preserve">Looking ahead to Q4 2023, we project $16.8M in sales (14% sequential growth) driven by three major contracts: a city-wide telehealth infrastructure project with San Francisco Health System, an AI diagnostics platform for Stanford's cancer center, and a medical device integration initiative with UCSF Medical Center. These opportunities collectively represent $7.3M in committed revenue.</w:t>
      </w:r>
    </w:p>
    <w:p>
      <w:pPr>
        <w:pStyle w:val="BodyText"/>
      </w:pPr>
      <w:r>
        <w:t xml:space="preserve">In conclusion, the United States San Francisco market is not merely a regional sales channel – it is the innovation engine powering our entire Biomedical Engineering division. The success of our Sales Report reflects that when organizations strategically deploy skilled Biomedical Engineer professionals within this ecosystem, they capture sustainable competitive advantage. We recommend doubling down on talent development in United States San Francisco to maintain leadership as the biotech industry's most dynamic marketplace.</w:t>
      </w:r>
    </w:p>
    <w:p>
      <w:pPr>
        <w:pStyle w:val="BodyText"/>
      </w:pPr>
      <w:r>
        <w:rPr>
          <w:bCs/>
          <w:b/>
        </w:rPr>
        <w:t xml:space="preserve">Prepared by:</w:t>
      </w:r>
      <w:r>
        <w:t xml:space="preserve"> </w:t>
      </w:r>
      <w:r>
        <w:t xml:space="preserve">Alex Morgan, Director of Sales &amp; Market Strategy</w:t>
      </w:r>
      <w:r>
        <w:br/>
      </w:r>
      <w:r>
        <w:t xml:space="preserve">BioMed Innovations Group | 123 Innovation Drive, San Francisco, CA 94107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United States San Francisco</dc:title>
  <dc:creator/>
  <dc:language>en</dc:language>
  <cp:keywords/>
  <dcterms:created xsi:type="dcterms:W3CDTF">2026-07-23T16:54:18Z</dcterms:created>
  <dcterms:modified xsi:type="dcterms:W3CDTF">2026-07-23T16:54:18Z</dcterms:modified>
</cp:coreProperties>
</file>

<file path=docProps/custom.xml><?xml version="1.0" encoding="utf-8"?>
<Properties xmlns="http://schemas.openxmlformats.org/officeDocument/2006/custom-properties" xmlns:vt="http://schemas.openxmlformats.org/officeDocument/2006/docPropsVTypes"/>
</file>