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31" w:name="Xfd471c5e3f359c2f261c4499b6008ffbc933c02"/>
    <w:p>
      <w:pPr>
        <w:pStyle w:val="Heading1"/>
      </w:pPr>
      <w:r>
        <w:t xml:space="preserve">Comprehensive Sales Report: Business Consultant Services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Business Consulting Division</w:t>
      </w:r>
    </w:p>
    <w:bookmarkStart w:id="20" w:name="executive-summary"/>
    <w:p>
      <w:pPr>
        <w:pStyle w:val="Heading2"/>
      </w:pPr>
      <w:r>
        <w:t xml:space="preserve">Executive Summary</w:t>
      </w:r>
    </w:p>
    <w:p>
      <w:pPr>
        <w:pStyle w:val="FirstParagraph"/>
      </w:pPr>
      <w:r>
        <w:t xml:space="preserve">This Sales Report presents a detailed analysis of our Business Consultant operations in the dynamic market of Argentina Buenos Aires. Over the past fiscal quarter, we've achieved a 32% year-over-year revenue growth within this strategic region, driven by heightened demand for specialized business transformation services. The Buenos Aires market has proven to be our most productive territory in South America, representing 41% of our total Latin American pipeline. This report details key sales metrics, market insights, client acquisition strategies, and forward-looking recommendations specifically tailored to Argentina's economic landscape.</w:t>
      </w:r>
    </w:p>
    <w:bookmarkEnd w:id="20"/>
    <w:bookmarkStart w:id="21" w:name="X92a3197bb3689f6aad570fd29dfac338b272f10"/>
    <w:p>
      <w:pPr>
        <w:pStyle w:val="Heading2"/>
      </w:pPr>
      <w:r>
        <w:t xml:space="preserve">Market Context: Argentina Buenos Aires Business Environment</w:t>
      </w:r>
    </w:p>
    <w:p>
      <w:pPr>
        <w:pStyle w:val="FirstParagraph"/>
      </w:pPr>
      <w:r>
        <w:t xml:space="preserve">Buenos Aires remains the epicenter of Argentina's commercial activity, hosting 47% of the nation's Fortune 500 companies and serving as a gateway to Latin America. Our Business Consultant team has strategically focused on this hub due to its unique convergence of economic complexity and growth potential. The local market faces critical challenges including inflation stabilization (current rate: 127%), currency volatility, and evolving regulatory frameworks under Argentina's new government policies. These conditions have created an unprecedented demand for our Business Consultant expertise in operational restructuring, export strategy development, and sustainable growth planning.</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This Quarter</w:t>
      </w:r>
    </w:p>
    <w:p>
      <w:pPr>
        <w:pStyle w:val="BodyText"/>
      </w:pPr>
      <w:r>
        <w:t xml:space="preserve">Last Year Same Period</w:t>
      </w:r>
    </w:p>
    <w:p>
      <w:pPr>
        <w:pStyle w:val="BodyText"/>
      </w:pPr>
      <w:r>
        <w:t xml:space="preserve">YoY Change</w:t>
      </w:r>
    </w:p>
    <w:p>
      <w:pPr>
        <w:pStyle w:val="BodyText"/>
      </w:pPr>
      <w:r>
        <w:t xml:space="preserve">Total Revenue (USD)</w:t>
      </w:r>
    </w:p>
    <w:p>
      <w:pPr>
        <w:pStyle w:val="BodyText"/>
      </w:pPr>
      <w:r>
        <w:t xml:space="preserve">$1,875,000</w:t>
      </w:r>
    </w:p>
    <w:p>
      <w:pPr>
        <w:pStyle w:val="BodyText"/>
      </w:pPr>
      <w:r>
        <w:t xml:space="preserve">$1,421,000</w:t>
      </w:r>
    </w:p>
    <w:p>
      <w:pPr>
        <w:pStyle w:val="BodyText"/>
      </w:pPr>
      <w:r>
        <w:t xml:space="preserve">+32.0%</w:t>
      </w:r>
    </w:p>
    <w:p>
      <w:pPr>
        <w:pStyle w:val="BodyText"/>
      </w:pPr>
      <w:r>
        <w:t xml:space="preserve">Client Acquisition Rate</w:t>
      </w:r>
    </w:p>
    <w:p>
      <w:pPr>
        <w:pStyle w:val="BodyText"/>
      </w:pPr>
      <w:r>
        <w:t xml:space="preserve">28 New Clients</w:t>
      </w:r>
    </w:p>
    <w:p>
      <w:pPr>
        <w:pStyle w:val="BodyText"/>
      </w:pPr>
      <w:r>
        <w:t xml:space="preserve">19 New Clients</w:t>
      </w:r>
    </w:p>
    <w:p>
      <w:pPr>
        <w:pStyle w:val="BodyText"/>
      </w:pPr>
      <w:r>
        <w:t xml:space="preserve">+47.4%</w:t>
      </w:r>
    </w:p>
    <w:p>
      <w:pPr>
        <w:pStyle w:val="BodyText"/>
      </w:pPr>
      <w:r>
        <w:t xml:space="preserve">Average Deal Size (USD)</w:t>
      </w:r>
    </w:p>
    <w:p>
      <w:pPr>
        <w:pStyle w:val="BodyText"/>
      </w:pPr>
      <w:r>
        <w:t xml:space="preserve">$66,900</w:t>
      </w:r>
    </w:p>
    <w:p>
      <w:pPr>
        <w:pStyle w:val="BodyText"/>
      </w:pPr>
      <w:r>
        <w:t xml:space="preserve">$58,500</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w:t>
      </w:r>
    </w:p>
    <w:bookmarkEnd w:id="22"/>
    <w:bookmarkStart w:id="26" w:name="Xd30a1150a72a9ae2b8eb8b73cdac7fb7a628319"/>
    <w:p>
      <w:pPr>
        <w:pStyle w:val="Heading2"/>
      </w:pPr>
      <w:r>
        <w:t xml:space="preserve">Detailed Sales Insights: Argentina Buenos Aires Focus</w:t>
      </w:r>
    </w:p>
    <w:bookmarkStart w:id="23" w:name="high-value-client-acquisition-strategy"/>
    <w:p>
      <w:pPr>
        <w:pStyle w:val="Heading3"/>
      </w:pPr>
      <w:r>
        <w:t xml:space="preserve">1. High-Value Client Acquisition Strategy</w:t>
      </w:r>
    </w:p>
    <w:p>
      <w:pPr>
        <w:pStyle w:val="FirstParagraph"/>
      </w:pPr>
      <w:r>
        <w:t xml:space="preserve">In Buenos Aires, we've successfully pivoted to a sector-focused approach targeting manufacturing (42% of new clients), agribusiness (31%), and fintech startups (17%). Our Business Consultant team developed Argentina-specific engagement models including "Inflation Resilience Workshops" and "Currency Risk Mitigation Blueprints" that directly address local pain points. The 28 new clients acquired this quarter include three major soy exporters navigating export documentation reforms and two automotive manufacturers seeking supply chain optimization amid import restrictions.</w:t>
      </w:r>
    </w:p>
    <w:bookmarkEnd w:id="23"/>
    <w:bookmarkStart w:id="24" w:name="localized-service-adaptation"/>
    <w:p>
      <w:pPr>
        <w:pStyle w:val="Heading3"/>
      </w:pPr>
      <w:r>
        <w:t xml:space="preserve">2. Localized Service Adaptation</w:t>
      </w:r>
    </w:p>
    <w:p>
      <w:pPr>
        <w:pStyle w:val="FirstParagraph"/>
      </w:pPr>
      <w:r>
        <w:t xml:space="preserve">Unlike generic consulting approaches, our Buenos Aires Business Consultant practice has implemented region-specific methodologies:</w:t>
      </w:r>
    </w:p>
    <w:p>
      <w:pPr>
        <w:numPr>
          <w:ilvl w:val="0"/>
          <w:numId w:val="1001"/>
        </w:numPr>
        <w:pStyle w:val="Compact"/>
      </w:pPr>
      <w:r>
        <w:rPr>
          <w:bCs/>
          <w:b/>
        </w:rPr>
        <w:t xml:space="preserve">Cultural Integration Framework:</w:t>
      </w:r>
      <w:r>
        <w:t xml:space="preserve"> </w:t>
      </w:r>
      <w:r>
        <w:t xml:space="preserve">All consultant teams now include native Spanish-speaking specialists with deep Argentina market knowledge (100% of new hires from local universities)</w:t>
      </w:r>
    </w:p>
    <w:p>
      <w:pPr>
        <w:numPr>
          <w:ilvl w:val="0"/>
          <w:numId w:val="1001"/>
        </w:numPr>
        <w:pStyle w:val="Compact"/>
      </w:pPr>
      <w:r>
        <w:rPr>
          <w:bCs/>
          <w:b/>
        </w:rPr>
        <w:t xml:space="preserve">Regulatory Navigation System:</w:t>
      </w:r>
      <w:r>
        <w:t xml:space="preserve"> </w:t>
      </w:r>
      <w:r>
        <w:t xml:space="preserve">Proprietary database tracking 147 active Argentine government decrees affecting business operations</w:t>
      </w:r>
    </w:p>
    <w:p>
      <w:pPr>
        <w:numPr>
          <w:ilvl w:val="0"/>
          <w:numId w:val="1001"/>
        </w:numPr>
        <w:pStyle w:val="Compact"/>
      </w:pPr>
      <w:r>
        <w:rPr>
          <w:bCs/>
          <w:b/>
        </w:rPr>
        <w:t xml:space="preserve">Dollar-Indexed Pricing Model:</w:t>
      </w:r>
      <w:r>
        <w:t xml:space="preserve"> </w:t>
      </w:r>
      <w:r>
        <w:t xml:space="preserve">Introduced to mitigate currency volatility for long-term contracts (adopted by 82% of new clients)</w:t>
      </w:r>
    </w:p>
    <w:bookmarkEnd w:id="24"/>
    <w:bookmarkStart w:id="25" w:name="Xe2e88e3d9abc7f6accf0d5c7345b6bbc80f1513"/>
    <w:p>
      <w:pPr>
        <w:pStyle w:val="Heading3"/>
      </w:pPr>
      <w:r>
        <w:t xml:space="preserve">3. Client Success Case: Major Agri-Tech Firm in Buenos Aires</w:t>
      </w:r>
    </w:p>
    <w:p>
      <w:pPr>
        <w:pStyle w:val="FirstParagraph"/>
      </w:pPr>
      <w:r>
        <w:t xml:space="preserve">A leading soy processing company in Buenos Aires (operating across 15 provinces) engaged our Business Consultant services to address export revenue leakage due to currency fluctuations. Our team implemented a dynamic pricing strategy incorporating Argentina's new foreign exchange regulations, resulting in:</w:t>
      </w:r>
    </w:p>
    <w:p>
      <w:pPr>
        <w:numPr>
          <w:ilvl w:val="0"/>
          <w:numId w:val="1002"/>
        </w:numPr>
        <w:pStyle w:val="Compact"/>
      </w:pPr>
      <w:r>
        <w:t xml:space="preserve">23% increase in export profit margins within 6 months</w:t>
      </w:r>
    </w:p>
    <w:p>
      <w:pPr>
        <w:numPr>
          <w:ilvl w:val="0"/>
          <w:numId w:val="1002"/>
        </w:numPr>
        <w:pStyle w:val="Compact"/>
      </w:pPr>
      <w:r>
        <w:t xml:space="preserve">98% reduction in payment processing delays</w:t>
      </w:r>
    </w:p>
    <w:p>
      <w:pPr>
        <w:numPr>
          <w:ilvl w:val="0"/>
          <w:numId w:val="1002"/>
        </w:numPr>
        <w:pStyle w:val="Compact"/>
      </w:pPr>
      <w:r>
        <w:t xml:space="preserve">Sustained compliance with AFIP (Argentine Tax Authority) requirements</w:t>
      </w:r>
    </w:p>
    <w:bookmarkEnd w:id="25"/>
    <w:bookmarkEnd w:id="26"/>
    <w:bookmarkStart w:id="27" w:name="Xee27992b4f73f40efba38fc4af5784c1a7ea43f"/>
    <w:p>
      <w:pPr>
        <w:pStyle w:val="Heading2"/>
      </w:pPr>
      <w:r>
        <w:t xml:space="preserve">Market Challenges and Strategic Responses</w:t>
      </w:r>
    </w:p>
    <w:p>
      <w:pPr>
        <w:pStyle w:val="FirstParagraph"/>
      </w:pPr>
      <w:r>
        <w:t xml:space="preserve">The economic volatility in Argentina presents both challenges and opportunities. While inflation has created pricing complexities, it has simultaneously accelerated demand for our Business Consultant services. Our key strategic responses include:</w:t>
      </w:r>
    </w:p>
    <w:p>
      <w:pPr>
        <w:numPr>
          <w:ilvl w:val="0"/>
          <w:numId w:val="1003"/>
        </w:numPr>
        <w:pStyle w:val="Compact"/>
      </w:pPr>
      <w:r>
        <w:rPr>
          <w:bCs/>
          <w:b/>
        </w:rPr>
        <w:t xml:space="preserve">Flexible Contract Structures:</w:t>
      </w:r>
      <w:r>
        <w:t xml:space="preserve"> </w:t>
      </w:r>
      <w:r>
        <w:t xml:space="preserve">73% of new contracts now include quarterly review clauses to adjust scope based on Argentina's economic indicators</w:t>
      </w:r>
    </w:p>
    <w:p>
      <w:pPr>
        <w:numPr>
          <w:ilvl w:val="0"/>
          <w:numId w:val="1003"/>
        </w:numPr>
        <w:pStyle w:val="Compact"/>
      </w:pPr>
      <w:r>
        <w:rPr>
          <w:bCs/>
          <w:b/>
        </w:rPr>
        <w:t xml:space="preserve">Tax Optimization Services:</w:t>
      </w:r>
      <w:r>
        <w:t xml:space="preserve"> </w:t>
      </w:r>
      <w:r>
        <w:t xml:space="preserve">Added specialized team focused on Argentina's complex tax environment (12 new clients in Q3)</w:t>
      </w:r>
    </w:p>
    <w:p>
      <w:pPr>
        <w:numPr>
          <w:ilvl w:val="0"/>
          <w:numId w:val="1003"/>
        </w:numPr>
        <w:pStyle w:val="Compact"/>
      </w:pPr>
      <w:r>
        <w:rPr>
          <w:bCs/>
          <w:b/>
        </w:rPr>
        <w:t xml:space="preserve">Digital Transformation Acceleration:</w:t>
      </w:r>
      <w:r>
        <w:t xml:space="preserve"> </w:t>
      </w:r>
      <w:r>
        <w:t xml:space="preserve">Launched "Buenos Aires Digital Roadmap" program addressing local tech infrastructure gaps</w:t>
      </w:r>
    </w:p>
    <w:bookmarkEnd w:id="27"/>
    <w:bookmarkStart w:id="28" w:name="X0bb50d2c48d427db604b4632b592cf2190464a0"/>
    <w:p>
      <w:pPr>
        <w:pStyle w:val="Heading2"/>
      </w:pPr>
      <w:r>
        <w:t xml:space="preserve">Client Feedback Highlights (Argentina Buenos Aires)</w:t>
      </w:r>
    </w:p>
    <w:p>
      <w:pPr>
        <w:pStyle w:val="FirstParagraph"/>
      </w:pPr>
      <w:r>
        <w:t xml:space="preserve">We conducted quarterly satisfaction surveys with all 124 active clients in Argentina. Key qualitative findings include:</w:t>
      </w:r>
    </w:p>
    <w:p>
      <w:pPr>
        <w:pStyle w:val="BlockText"/>
      </w:pPr>
      <w:r>
        <w:t xml:space="preserve">"Your Business Consultant team didn't just understand our local challenges – they navigated Argentina's regulatory maze for us. The currency adjustment model alone saved us $450,000 in the first quarter."</w:t>
      </w:r>
      <w:r>
        <w:br/>
      </w:r>
      <w:r>
        <w:rPr>
          <w:iCs/>
          <w:i/>
        </w:rPr>
        <w:t xml:space="preserve">- Chief Operations Officer, Leading Meat Exporter (Buenos Aires)</w:t>
      </w:r>
    </w:p>
    <w:p>
      <w:pPr>
        <w:pStyle w:val="BlockText"/>
      </w:pPr>
      <w:r>
        <w:t xml:space="preserve">"Most consultants approach Argentina with generic solutions. Your team's understanding of the Buenos Aires business culture and economic context made the difference."</w:t>
      </w:r>
      <w:r>
        <w:br/>
      </w:r>
      <w:r>
        <w:rPr>
          <w:iCs/>
          <w:i/>
        </w:rPr>
        <w:t xml:space="preserve">- CFO, Major Retail Chain (Buenos Aires)</w:t>
      </w:r>
    </w:p>
    <w:bookmarkEnd w:id="28"/>
    <w:bookmarkStart w:id="29" w:name="X04ade2edeea0e1c1109d7475bf0a1e3445232c6"/>
    <w:p>
      <w:pPr>
        <w:pStyle w:val="Heading2"/>
      </w:pPr>
      <w:r>
        <w:t xml:space="preserve">Strategic Recommendations for Argentina Buenos Aires</w:t>
      </w:r>
    </w:p>
    <w:p>
      <w:pPr>
        <w:numPr>
          <w:ilvl w:val="0"/>
          <w:numId w:val="1004"/>
        </w:numPr>
        <w:pStyle w:val="Compact"/>
      </w:pPr>
      <w:r>
        <w:rPr>
          <w:bCs/>
          <w:b/>
        </w:rPr>
        <w:t xml:space="preserve">Expand Sector Specialization:</w:t>
      </w:r>
      <w:r>
        <w:t xml:space="preserve"> </w:t>
      </w:r>
      <w:r>
        <w:t xml:space="preserve">Dedicate 15% of Business Consultant resources to developing deeper expertise in Argentina's emerging green energy sector (growing at 28% CAGR)</w:t>
      </w:r>
    </w:p>
    <w:p>
      <w:pPr>
        <w:numPr>
          <w:ilvl w:val="0"/>
          <w:numId w:val="1004"/>
        </w:numPr>
        <w:pStyle w:val="Compact"/>
      </w:pPr>
      <w:r>
        <w:rPr>
          <w:bCs/>
          <w:b/>
        </w:rPr>
        <w:t xml:space="preserve">Build Local Partnerships:</w:t>
      </w:r>
      <w:r>
        <w:t xml:space="preserve"> </w:t>
      </w:r>
      <w:r>
        <w:t xml:space="preserve">Forge alliances with key Buenos Aires institutions including CAME (Argentine Chamber of Commerce) and local universities for talent development</w:t>
      </w:r>
    </w:p>
    <w:p>
      <w:pPr>
        <w:numPr>
          <w:ilvl w:val="0"/>
          <w:numId w:val="1004"/>
        </w:numPr>
        <w:pStyle w:val="Compact"/>
      </w:pPr>
      <w:r>
        <w:rPr>
          <w:bCs/>
          <w:b/>
        </w:rPr>
        <w:t xml:space="preserve">Launch Argentina Economic Pulse Dashboard:</w:t>
      </w:r>
      <w:r>
        <w:t xml:space="preserve"> </w:t>
      </w:r>
      <w:r>
        <w:t xml:space="preserve">Develop real-time analytics platform tracking 30+ economic indicators specific to Buenos Aires business environment</w:t>
      </w:r>
    </w:p>
    <w:p>
      <w:pPr>
        <w:numPr>
          <w:ilvl w:val="0"/>
          <w:numId w:val="1004"/>
        </w:numPr>
        <w:pStyle w:val="Compact"/>
      </w:pPr>
      <w:r>
        <w:rPr>
          <w:bCs/>
          <w:b/>
        </w:rPr>
        <w:t xml:space="preserve">Implement Tiered Service Model:</w:t>
      </w:r>
      <w:r>
        <w:t xml:space="preserve"> </w:t>
      </w:r>
      <w:r>
        <w:t xml:space="preserve">Create entry-level "Buenos Aires Business Health Check" ($5,000) targeting SMEs with limited budgets</w:t>
      </w:r>
    </w:p>
    <w:bookmarkEnd w:id="29"/>
    <w:bookmarkStart w:id="30" w:name="Xb53c5d33045e8cc64ed7117da6cdd24fd8a96d9"/>
    <w:p>
      <w:pPr>
        <w:pStyle w:val="Heading2"/>
      </w:pPr>
      <w:r>
        <w:t xml:space="preserve">Conclusion: Sustaining Growth in Argentina Buenos Aires</w:t>
      </w:r>
    </w:p>
    <w:p>
      <w:pPr>
        <w:pStyle w:val="FirstParagraph"/>
      </w:pPr>
      <w:r>
        <w:t xml:space="preserve">The Sales Report confirms that our Business Consultant practice in Argentina Buenos Aires has achieved exceptional results by deeply embedding local market knowledge into every service offering. The 32% revenue growth demonstrates how tailored solutions addressing Argentina's unique economic challenges drive client success. As we move into Q4, we will intensify focus on three strategic priorities: deepening sector expertise in agribusiness and fintech, scaling our digital capabilities for the Buenos Aires market, and developing a specialized training program for consultants operating within Argentina's complex regulatory environment.</w:t>
      </w:r>
    </w:p>
    <w:p>
      <w:pPr>
        <w:pStyle w:val="BodyText"/>
      </w:pPr>
      <w:r>
        <w:t xml:space="preserve">With Argentina's economy showing early signs of stabilization, our Business Consultant team is positioned to capture even greater market share. The current momentum in Buenos Aires provides a powerful foundation for sustained growth across the entire Latin American region. We recommend increasing investment in our local Buenos Aires office by 18% for 2024 to capitalize on this strategic opportunity.</w:t>
      </w:r>
    </w:p>
    <w:p>
      <w:pPr>
        <w:pStyle w:val="BodyText"/>
      </w:pPr>
      <w:r>
        <w:rPr>
          <w:bCs/>
          <w:b/>
        </w:rPr>
        <w:t xml:space="preserve">Prepared with Argentina-specific insights, delivered by global Business Consultant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Argentina Buenos Aires Market</dc:title>
  <dc:creator/>
  <dc:language>en</dc:language>
  <cp:keywords/>
  <dcterms:created xsi:type="dcterms:W3CDTF">2025-12-11T15:59:18Z</dcterms:created>
  <dcterms:modified xsi:type="dcterms:W3CDTF">2025-12-11T15:59:18Z</dcterms:modified>
</cp:coreProperties>
</file>

<file path=docProps/custom.xml><?xml version="1.0" encoding="utf-8"?>
<Properties xmlns="http://schemas.openxmlformats.org/officeDocument/2006/custom-properties" xmlns:vt="http://schemas.openxmlformats.org/officeDocument/2006/docPropsVTypes"/>
</file>