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0a67b138b6b58c247e1f107b927be68482b866b"/>
    <w:p>
      <w:pPr>
        <w:pStyle w:val="Heading1"/>
      </w:pPr>
      <w:r>
        <w:t xml:space="preserve">Annual Sales Report: Business Consultant Services in Argentina Córdoba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business consulting services across the vibrant economic landscape of Argentina Córdoba. Covering the fiscal year 2023, this document underscores how strategic advisory solutions have driven tangible growth for local enterprises, positioning our firm as a cornerstone of commercial advancement in one of Argentina's most dynamic regions. With Cordoba representing 28% of Argentina's industrial output and hosting over 57,000 active businesses, the demand for specialized</w:t>
      </w:r>
      <w:r>
        <w:t xml:space="preserve"> </w:t>
      </w:r>
      <w:r>
        <w:rPr>
          <w:bCs/>
          <w:b/>
        </w:rPr>
        <w:t xml:space="preserve">Business Consultant</w:t>
      </w:r>
      <w:r>
        <w:t xml:space="preserve"> </w:t>
      </w:r>
      <w:r>
        <w:t xml:space="preserve">expertise has never been more critical. Our team achieved a 34% year-over-year sales growth in Córdoba alone, exceeding target by 12%, demonstrating exceptional market penetration within this strategic territory.</w:t>
      </w:r>
    </w:p>
    <w:bookmarkEnd w:id="20"/>
    <w:bookmarkStart w:id="21" w:name="Xec2f89903922668e586ccc230811cd39ce629e7"/>
    <w:p>
      <w:pPr>
        <w:pStyle w:val="Heading2"/>
      </w:pPr>
      <w:r>
        <w:t xml:space="preserve">Market Context: Argentina Córdoba's Business Landscape</w:t>
      </w:r>
    </w:p>
    <w:p>
      <w:pPr>
        <w:pStyle w:val="FirstParagraph"/>
      </w:pPr>
      <w:r>
        <w:t xml:space="preserve">Argentina Córdoba has emerged as an economic powerhouse beyond its reputation as a cultural hub. The province's GDP growth (4.7% in 2023) outpaces national averages, fueled by agro-industry, automotive manufacturing (with major plants from Fiat and Ford), and a burgeoning tech sector centered in the Córdoba Innovation Hub. However, this growth presents unique challenges: complex regulatory environments, currency volatility impacting imports/exports, and fragmented SME operations. As local businesses navigate Argentina's economic turbulence—marked by 2023 inflation at 110%—the role of an experienced</w:t>
      </w:r>
      <w:r>
        <w:t xml:space="preserve"> </w:t>
      </w:r>
      <w:r>
        <w:rPr>
          <w:bCs/>
          <w:b/>
        </w:rPr>
        <w:t xml:space="preserve">Business Consultant</w:t>
      </w:r>
      <w:r>
        <w:t xml:space="preserve"> </w:t>
      </w:r>
      <w:r>
        <w:t xml:space="preserve">has shifted from advisory to essential survival tool. Our market research confirms 68% of Córdoba-based companies now prioritize external strategic partners to maintain competitiveness.</w:t>
      </w:r>
    </w:p>
    <w:bookmarkEnd w:id="21"/>
    <w:bookmarkStart w:id="22" w:name="Xb02f96376229e33b55e34ee884b7610af0ea4ab"/>
    <w:p>
      <w:pPr>
        <w:pStyle w:val="Heading2"/>
      </w:pPr>
      <w:r>
        <w:t xml:space="preserve">Sales Performance Breakdown (Argentina Córdoba)</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Line</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Key Clients (Córdoba)</w:t>
            </w:r>
          </w:p>
        </w:tc>
        <w:tc>
          <w:tcPr/>
          <w:p>
            <w:pPr>
              <w:pStyle w:val="Compact"/>
            </w:pPr>
          </w:p>
        </w:tc>
        <w:tc>
          <w:tcPr/>
          <w:p>
            <w:pPr>
              <w:pStyle w:val="Compact"/>
            </w:pPr>
          </w:p>
        </w:tc>
      </w:tr>
      <w:tr>
        <w:tc>
          <w:tcPr/>
          <w:p>
            <w:pPr>
              <w:pStyle w:val="Compact"/>
              <w:jc w:val="left"/>
            </w:pPr>
            <w:r>
              <w:t xml:space="preserve">Operational Efficiency Consulting</w:t>
            </w:r>
          </w:p>
        </w:tc>
        <w:tc>
          <w:tcPr/>
          <w:p>
            <w:pPr>
              <w:pStyle w:val="Compact"/>
              <w:jc w:val="left"/>
            </w:pPr>
            <w:r>
              <w:t xml:space="preserve">$420,500</w:t>
            </w:r>
          </w:p>
        </w:tc>
        <w:tc>
          <w:tcPr/>
          <w:p>
            <w:pPr>
              <w:pStyle w:val="Compact"/>
              <w:jc w:val="left"/>
            </w:pPr>
            <w:r>
              <w:t xml:space="preserve">+39%</w:t>
            </w:r>
          </w:p>
        </w:tc>
        <w:tc>
          <w:tcPr/>
          <w:p>
            <w:pPr>
              <w:pStyle w:val="Compact"/>
              <w:jc w:val="left"/>
            </w:pPr>
            <w:r>
              <w:t xml:space="preserve">Cecilia Foods, AutoNorte S.A.</w:t>
            </w:r>
          </w:p>
        </w:tc>
        <w:tc>
          <w:tcPr/>
          <w:p>
            <w:pPr>
              <w:pStyle w:val="Compact"/>
            </w:pPr>
          </w:p>
        </w:tc>
        <w:tc>
          <w:tcPr/>
          <w:p>
            <w:pPr>
              <w:pStyle w:val="Compact"/>
            </w:pPr>
          </w:p>
        </w:tc>
      </w:tr>
      <w:tr>
        <w:tc>
          <w:tcPr/>
          <w:p>
            <w:pPr>
              <w:pStyle w:val="Compact"/>
              <w:jc w:val="left"/>
            </w:pPr>
            <w:r>
              <w:t xml:space="preserve">Export Strategy Development</w:t>
            </w:r>
          </w:p>
        </w:tc>
        <w:tc>
          <w:tcPr/>
          <w:p>
            <w:pPr>
              <w:pStyle w:val="Compact"/>
              <w:jc w:val="left"/>
            </w:pPr>
            <w:r>
              <w:t xml:space="preserve">$317,200</w:t>
            </w:r>
            <w:r>
              <w:t xml:space="preserve"> </w:t>
            </w:r>
            <w:r>
              <w:rPr>
                <w:bCs/>
                <w:b/>
              </w:rPr>
              <w:t xml:space="preserve">(+48%)</w:t>
            </w:r>
          </w:p>
        </w:tc>
        <w:tc>
          <w:tcPr/>
          <w:p>
            <w:pPr>
              <w:pStyle w:val="Compact"/>
              <w:jc w:val="left"/>
            </w:pPr>
            <w:r>
              <w:t xml:space="preserve">National Expansion Planning</w:t>
            </w:r>
          </w:p>
        </w:tc>
        <w:tc>
          <w:tcPr/>
          <w:p>
            <w:pPr>
              <w:pStyle w:val="Compact"/>
              <w:jc w:val="left"/>
            </w:pPr>
            <w:r>
              <w:t xml:space="preserve">$289,600</w:t>
            </w:r>
          </w:p>
        </w:tc>
        <w:tc>
          <w:tcPr/>
          <w:p>
            <w:pPr>
              <w:pStyle w:val="Compact"/>
              <w:jc w:val="left"/>
            </w:pPr>
            <w:r>
              <w:t xml:space="preserve">+29%</w:t>
            </w:r>
          </w:p>
        </w:tc>
        <w:tc>
          <w:tcPr/>
          <w:p>
            <w:pPr>
              <w:pStyle w:val="Compact"/>
              <w:jc w:val="left"/>
            </w:pPr>
            <w:r>
              <w:t xml:space="preserve">Sudamérica Agro, Biotecnología Córdoba</w:t>
            </w:r>
          </w:p>
        </w:tc>
      </w:tr>
      <w:tr>
        <w:tc>
          <w:tcPr/>
          <w:p>
            <w:pPr>
              <w:pStyle w:val="Compact"/>
              <w:jc w:val="left"/>
            </w:pPr>
            <w:r>
              <w:t xml:space="preserve">Digital Transformation Roadmaps</w:t>
            </w:r>
          </w:p>
        </w:tc>
        <w:tc>
          <w:tcPr/>
          <w:p>
            <w:pPr>
              <w:pStyle w:val="Compact"/>
              <w:jc w:val="left"/>
            </w:pPr>
            <w:r>
              <w:t xml:space="preserve">$354,100</w:t>
            </w:r>
          </w:p>
        </w:tc>
        <w:tc>
          <w:tcPr/>
          <w:p>
            <w:pPr>
              <w:pStyle w:val="Compact"/>
              <w:jc w:val="left"/>
            </w:pPr>
            <w:r>
              <w:t xml:space="preserve">+52%</w:t>
            </w:r>
          </w:p>
        </w:tc>
        <w:tc>
          <w:tcPr/>
          <w:p>
            <w:pPr>
              <w:pStyle w:val="Compact"/>
              <w:jc w:val="left"/>
            </w:pPr>
            <w:r>
              <w:t xml:space="preserve">Córdoba Logistics, Ecológica SA</w:t>
            </w:r>
          </w:p>
        </w:tc>
        <w:tc>
          <w:tcPr/>
          <w:p>
            <w:pPr>
              <w:pStyle w:val="Compact"/>
            </w:pPr>
          </w:p>
        </w:tc>
        <w:tc>
          <w:tcPr/>
          <w:p>
            <w:pPr>
              <w:pStyle w:val="Compact"/>
            </w:pPr>
          </w:p>
        </w:tc>
      </w:tr>
    </w:tbl>
    <w:p>
      <w:pPr>
        <w:pStyle w:val="BodyText"/>
      </w:pPr>
      <w:r>
        <w:t xml:space="preserve">Notable achievements include our landmark contract with</w:t>
      </w:r>
      <w:r>
        <w:t xml:space="preserve"> </w:t>
      </w:r>
      <w:r>
        <w:rPr>
          <w:iCs/>
          <w:i/>
        </w:rPr>
        <w:t xml:space="preserve">Cecilia Foods</w:t>
      </w:r>
      <w:r>
        <w:t xml:space="preserve"> </w:t>
      </w:r>
      <w:r>
        <w:t xml:space="preserve">(Córdoba's largest agri-processor), where we implemented supply chain optimization that reduced operational costs by 22% within 9 months. Similarly, the export strategy engagement with</w:t>
      </w:r>
      <w:r>
        <w:t xml:space="preserve"> </w:t>
      </w:r>
      <w:r>
        <w:rPr>
          <w:iCs/>
          <w:i/>
        </w:rPr>
        <w:t xml:space="preserve">AutoNorte S.A.</w:t>
      </w:r>
      <w:r>
        <w:t xml:space="preserve"> </w:t>
      </w:r>
      <w:r>
        <w:t xml:space="preserve">unlocked access to EU markets, generating $8.3M in new revenue streams—a first for their Córdoba operations. These cases exemplify how our</w:t>
      </w:r>
      <w:r>
        <w:t xml:space="preserve"> </w:t>
      </w:r>
      <w:r>
        <w:rPr>
          <w:bCs/>
          <w:b/>
        </w:rPr>
        <w:t xml:space="preserve">Business Consultant</w:t>
      </w:r>
      <w:r>
        <w:t xml:space="preserve"> </w:t>
      </w:r>
      <w:r>
        <w:t xml:space="preserve">services directly translate to Argentina Córdoba's economic resilience.</w:t>
      </w:r>
    </w:p>
    <w:bookmarkEnd w:id="22"/>
    <w:bookmarkStart w:id="23" w:name="X1bbe24558b7cd5b4dfbf9a475791d859457c6ff"/>
    <w:p>
      <w:pPr>
        <w:pStyle w:val="Heading2"/>
      </w:pPr>
      <w:r>
        <w:t xml:space="preserve">Clients' Success Metrics in Argentina Córdoba</w:t>
      </w:r>
    </w:p>
    <w:p>
      <w:pPr>
        <w:pStyle w:val="FirstParagraph"/>
      </w:pPr>
      <w:r>
        <w:t xml:space="preserve">The true measure of our impact is reflected in client outcomes across the province:</w:t>
      </w:r>
    </w:p>
    <w:p>
      <w:pPr>
        <w:numPr>
          <w:ilvl w:val="0"/>
          <w:numId w:val="1001"/>
        </w:numPr>
        <w:pStyle w:val="Compact"/>
      </w:pPr>
      <w:r>
        <w:rPr>
          <w:bCs/>
          <w:b/>
        </w:rPr>
        <w:t xml:space="preserve">Agro-Industrial Sector:</w:t>
      </w:r>
      <w:r>
        <w:t xml:space="preserve"> </w:t>
      </w:r>
      <w:r>
        <w:t xml:space="preserve">87% of participating farms reported improved profit margins after implementing our cost-structure analysis (e.g.,</w:t>
      </w:r>
      <w:r>
        <w:t xml:space="preserve"> </w:t>
      </w:r>
      <w:r>
        <w:rPr>
          <w:iCs/>
          <w:i/>
        </w:rPr>
        <w:t xml:space="preserve">Finca Los Ángeles</w:t>
      </w:r>
      <w:r>
        <w:t xml:space="preserve"> </w:t>
      </w:r>
      <w:r>
        <w:t xml:space="preserve">increased yield by 19% through precision agriculture integration).</w:t>
      </w:r>
    </w:p>
    <w:p>
      <w:pPr>
        <w:numPr>
          <w:ilvl w:val="0"/>
          <w:numId w:val="1001"/>
        </w:numPr>
        <w:pStyle w:val="Compact"/>
      </w:pPr>
      <w:r>
        <w:rPr>
          <w:bCs/>
          <w:b/>
        </w:rPr>
        <w:t xml:space="preserve">SME Growth:</w:t>
      </w:r>
      <w:r>
        <w:t xml:space="preserve"> </w:t>
      </w:r>
      <w:r>
        <w:t xml:space="preserve">Client companies experienced an average of 27% higher customer acquisition rates post-strategy implementation, validated through our Cordoba-specific market surveys.</w:t>
      </w:r>
    </w:p>
    <w:p>
      <w:pPr>
        <w:numPr>
          <w:ilvl w:val="0"/>
          <w:numId w:val="1001"/>
        </w:numPr>
        <w:pStyle w:val="Compact"/>
      </w:pPr>
      <w:r>
        <w:rPr>
          <w:bCs/>
          <w:b/>
        </w:rPr>
        <w:t xml:space="preserve">Cross-Industry Impact:</w:t>
      </w:r>
      <w:r>
        <w:t xml:space="preserve"> </w:t>
      </w:r>
      <w:r>
        <w:t xml:space="preserve">Automotive suppliers in Córdoba's industrial corridor saw a 31% reduction in production downtime following our operational audits.</w:t>
      </w:r>
    </w:p>
    <w:bookmarkEnd w:id="23"/>
    <w:bookmarkStart w:id="24" w:name="X8e1918148d7b031ab688e6c44f4ea4cd95acf8c"/>
    <w:p>
      <w:pPr>
        <w:pStyle w:val="Heading2"/>
      </w:pPr>
      <w:r>
        <w:t xml:space="preserve">Unique Value Proposition for Argentina Córdoba</w:t>
      </w:r>
    </w:p>
    <w:p>
      <w:pPr>
        <w:pStyle w:val="FirstParagraph"/>
      </w:pPr>
      <w:r>
        <w:t xml:space="preserve">What distinguishes our</w:t>
      </w:r>
      <w:r>
        <w:t xml:space="preserve"> </w:t>
      </w:r>
      <w:r>
        <w:rPr>
          <w:bCs/>
          <w:b/>
        </w:rPr>
        <w:t xml:space="preserve">Business Consultant</w:t>
      </w:r>
      <w:r>
        <w:t xml:space="preserve"> </w:t>
      </w:r>
      <w:r>
        <w:t xml:space="preserve">model in Argentina Córdoba is hyper-localized expertise. Unlike national firms, we maintain a dedicated Córdoba team with fluency in regional trade customs, provincial tax codes (e.g., "Impuesto a las Ganancias"), and cultural nuances of local business practices. Our 2023 initiative—"Córdoba Growth Catalyst" program"—provided subsidized strategy sessions for 42 SMEs, resulting in 73% of participants securing new financing or partnerships within six months. This localized approach directly addresses the pain point identified in our Córdoba client surveys: "National consulting firms don't understand our provincial challenges."</w:t>
      </w:r>
    </w:p>
    <w:bookmarkEnd w:id="24"/>
    <w:bookmarkStart w:id="25" w:name="challenges-and-strategic-adjustments"/>
    <w:p>
      <w:pPr>
        <w:pStyle w:val="Heading2"/>
      </w:pPr>
      <w:r>
        <w:t xml:space="preserve">Challenges and Strategic Adjustments</w:t>
      </w:r>
    </w:p>
    <w:p>
      <w:pPr>
        <w:pStyle w:val="FirstParagraph"/>
      </w:pPr>
      <w:r>
        <w:t xml:space="preserve">The Argentina Córdoba market presented distinct hurdles, notably navigating the 2023 devaluation of the peso and complex export regulations. Our response involved developing a real-time currency risk module integrated into all client strategies—a solution born from working with Córdoba's textile exporters during the currency crisis. We also expanded our Spanish-English bilingual consultancy team by 40% to better serve Spanish-speaking clients while maintaining international standards for multinational partners based in Córdoba.</w:t>
      </w:r>
    </w:p>
    <w:bookmarkEnd w:id="25"/>
    <w:bookmarkStart w:id="26" w:name="Xa64f355a73646c940fbe7ae70b0163b05382b1b"/>
    <w:p>
      <w:pPr>
        <w:pStyle w:val="Heading2"/>
      </w:pPr>
      <w:r>
        <w:t xml:space="preserve">Future Outlook for Business Consulting in Argentina Córdoba</w:t>
      </w:r>
    </w:p>
    <w:p>
      <w:pPr>
        <w:pStyle w:val="FirstParagraph"/>
      </w:pPr>
      <w:r>
        <w:t xml:space="preserve">Looking ahead, the Argentina Córdoba market shows unprecedented opportunity. With the new "Córdoba Digital 2030" government initiative, we anticipate a 35% surge in demand for digital transformation consulting. Our upcoming focus areas include:</w:t>
      </w:r>
    </w:p>
    <w:p>
      <w:pPr>
        <w:numPr>
          <w:ilvl w:val="0"/>
          <w:numId w:val="1002"/>
        </w:numPr>
        <w:pStyle w:val="Compact"/>
      </w:pPr>
      <w:r>
        <w:rPr>
          <w:bCs/>
          <w:b/>
        </w:rPr>
        <w:t xml:space="preserve">Green Economy Consulting:</w:t>
      </w:r>
      <w:r>
        <w:t xml:space="preserve"> </w:t>
      </w:r>
      <w:r>
        <w:t xml:space="preserve">Supporting Córdoba's renewable energy targets (e.g., solar farm developments)</w:t>
      </w:r>
    </w:p>
    <w:p>
      <w:pPr>
        <w:numPr>
          <w:ilvl w:val="0"/>
          <w:numId w:val="1002"/>
        </w:numPr>
        <w:pStyle w:val="Compact"/>
      </w:pPr>
      <w:r>
        <w:rPr>
          <w:bCs/>
          <w:b/>
        </w:rPr>
        <w:t xml:space="preserve">Agri-Tech Acceleration:</w:t>
      </w:r>
      <w:r>
        <w:t xml:space="preserve"> </w:t>
      </w:r>
      <w:r>
        <w:t xml:space="preserve">Partnering with Córdoba's agricultural innovation parks</w:t>
      </w:r>
    </w:p>
    <w:p>
      <w:pPr>
        <w:numPr>
          <w:ilvl w:val="0"/>
          <w:numId w:val="1002"/>
        </w:numPr>
        <w:pStyle w:val="Compact"/>
      </w:pPr>
      <w:r>
        <w:rPr>
          <w:bCs/>
          <w:b/>
        </w:rPr>
        <w:t xml:space="preserve">Cross-Border Trade Facilitation:</w:t>
      </w:r>
      <w:r>
        <w:t xml:space="preserve"> </w:t>
      </w:r>
      <w:r>
        <w:t xml:space="preserve">Leveraging Argentina's MERCOSUR agreements for local exporters</w:t>
      </w:r>
    </w:p>
    <w:bookmarkEnd w:id="26"/>
    <w:bookmarkStart w:id="27" w:name="Xa5d0e31384eab594460e55e16dd1644249bbbff"/>
    <w:p>
      <w:pPr>
        <w:pStyle w:val="Heading2"/>
      </w:pPr>
      <w:r>
        <w:t xml:space="preserve">Conclusion: The Indispensable Role of Business Consultants in Argentina Córdoba</w:t>
      </w:r>
    </w:p>
    <w:p>
      <w:pPr>
        <w:pStyle w:val="FirstParagraph"/>
      </w:pPr>
      <w:r>
        <w:t xml:space="preserve">This annual Sales Report affirms that specialized</w:t>
      </w:r>
      <w:r>
        <w:t xml:space="preserve"> </w:t>
      </w:r>
      <w:r>
        <w:rPr>
          <w:bCs/>
          <w:b/>
        </w:rPr>
        <w:t xml:space="preserve">Business Consultant</w:t>
      </w:r>
      <w:r>
        <w:t xml:space="preserve"> </w:t>
      </w:r>
      <w:r>
        <w:t xml:space="preserve">services are not merely beneficial but essential for sustainable growth in Argentina Córdoba. As the province continues to drive Argentina's economic recovery through manufacturing, agriculture, and innovation, our firm’s localized expertise has become a catalyst for enterprise resilience. The 34% sales growth we achieved this year—rooted exclusively in Córdoba operations—proves that strategic advisory services are the bedrock of commercial success in this critical Argentine market. We remain committed to empowering Córdoba's business community through data-driven strategies, cultural intelligence, and unwavering focus on Argentina's provincial economic engine. As one client stated: "In Córdoba, you don't just get a consultant—you get a partner who understands our streets, our challenges, and our future."</w:t>
      </w:r>
    </w:p>
    <w:p>
      <w:pPr>
        <w:pStyle w:val="BodyText"/>
      </w:pPr>
      <w:r>
        <w:rPr>
          <w:bCs/>
          <w:b/>
        </w:rPr>
        <w:t xml:space="preserve">Prepared by:</w:t>
      </w:r>
      <w:r>
        <w:t xml:space="preserve"> </w:t>
      </w:r>
      <w:r>
        <w:t xml:space="preserve">Global Business Advisors |</w:t>
      </w:r>
      <w:r>
        <w:t xml:space="preserve"> </w:t>
      </w:r>
      <w:r>
        <w:rPr>
          <w:bCs/>
          <w:b/>
        </w:rPr>
        <w:t xml:space="preserve">Region:</w:t>
      </w:r>
      <w:r>
        <w:t xml:space="preserve"> </w:t>
      </w:r>
      <w:r>
        <w:t xml:space="preserve">Argentina Córdoba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Consultant Services in Argentina Córdoba</dc:title>
  <dc:creator/>
  <dc:language>en</dc:language>
  <cp:keywords/>
  <dcterms:created xsi:type="dcterms:W3CDTF">2026-07-24T06:10:59Z</dcterms:created>
  <dcterms:modified xsi:type="dcterms:W3CDTF">2026-07-24T06:10:59Z</dcterms:modified>
</cp:coreProperties>
</file>

<file path=docProps/custom.xml><?xml version="1.0" encoding="utf-8"?>
<Properties xmlns="http://schemas.openxmlformats.org/officeDocument/2006/custom-properties" xmlns:vt="http://schemas.openxmlformats.org/officeDocument/2006/docPropsVTypes"/>
</file>