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w:t>
      </w:r>
      <w:r>
        <w:t xml:space="preserve"> </w:t>
      </w:r>
      <w:r>
        <w:t xml:space="preserve">Melbourne,</w:t>
      </w:r>
      <w:r>
        <w:t xml:space="preserve"> </w:t>
      </w:r>
      <w:r>
        <w:t xml:space="preserve">Australia</w:t>
      </w:r>
    </w:p>
    <w:bookmarkStart w:id="26" w:name="Xd363ef242e8849c740651457529672aba5345b9"/>
    <w:p>
      <w:pPr>
        <w:pStyle w:val="Heading1"/>
      </w:pPr>
      <w:r>
        <w:t xml:space="preserve">Q3 2024 Comprehensive Sales Report: Business Consultant Performance in Melbourne, Australia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Global Consulting Division</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dedicated Business Consultant services across the Melbourne metropolitan area and key regional hubs within Australia. Q3 has proven to be a transformative quarter, demonstrating significant growth in client acquisition, service adoption, and revenue generation specifically tailored to the unique demands of the Australian business landscape. Our strategic focus on delivering actionable insights rooted in Melbourne's economic ecosystem has driven a 28% year-on-year increase in qualified leads and secured commitments from 18 new enterprise clients within Australia Melbourne. The report confirms that our localized approach to Business Consulting is not just relevant, but essential for navigating the complexities of the current Australian market.</w:t>
      </w:r>
    </w:p>
    <w:bookmarkEnd w:id="20"/>
    <w:bookmarkStart w:id="21" w:name="X51b4ef50d4cc8845e14213045e5b70811ecda56"/>
    <w:p>
      <w:pPr>
        <w:pStyle w:val="Heading2"/>
      </w:pPr>
      <w:r>
        <w:t xml:space="preserve">II. Market Analysis: The Melbourne Advantage</w:t>
      </w:r>
    </w:p>
    <w:p>
      <w:pPr>
        <w:pStyle w:val="FirstParagraph"/>
      </w:pPr>
      <w:r>
        <w:t xml:space="preserve">Melbourne remains a dynamic economic powerhouse within Australia, consistently ranked as one of the world's most liveable cities and a major hub for innovation, finance, and manufacturing. Our Q3 analysis confirms that businesses operating in Australia Melbourne face distinct challenges compared to national averages: navigating stringent Victorian regulations (e.g., Fair Work Commission compliance, local council requirements), adapting to rapidly evolving consumer preferences in the CBD and inner suburbs (South Yarra, Docklands), and capitalizing on emerging opportunities within the $1.3 trillion Australian economy.</w:t>
      </w:r>
    </w:p>
    <w:p>
      <w:pPr>
        <w:pStyle w:val="BodyText"/>
      </w:pPr>
      <w:r>
        <w:t xml:space="preserve">Our Business Consultant team has deepened its understanding of these nuances. By conducting localized market intelligence sessions across key Melbourne precincts (including Docklands Innovation Hub, Melbourne CBD, and regional offices in Geelong), we've identified critical trends: a 35% surge in demand for digital transformation strategy among SMEs post-pandemic, heightened focus on sustainable business practices aligned with Victorian government initiatives (e.g., Net Zero by 2050), and significant challenges in talent acquisition within the Melbourne tech sector. These insights directly inform our service delivery, ensuring our Business Consultant engagements deliver maximum impact within the Australian Melbourne context.</w:t>
      </w:r>
    </w:p>
    <w:bookmarkEnd w:id="21"/>
    <w:bookmarkStart w:id="22" w:name="iii.-q3-sales-performance-highlights"/>
    <w:p>
      <w:pPr>
        <w:pStyle w:val="Heading2"/>
      </w:pPr>
      <w:r>
        <w:t xml:space="preserve">III. Q3 Sales Performance Highlights</w:t>
      </w:r>
    </w:p>
    <w:p>
      <w:pPr>
        <w:numPr>
          <w:ilvl w:val="0"/>
          <w:numId w:val="1001"/>
        </w:numPr>
        <w:pStyle w:val="Compact"/>
      </w:pPr>
      <w:r>
        <w:rPr>
          <w:bCs/>
          <w:b/>
        </w:rPr>
        <w:t xml:space="preserve">New Client Acquisition (Australia Melbourne):</w:t>
      </w:r>
      <w:r>
        <w:t xml:space="preserve"> </w:t>
      </w:r>
      <w:r>
        <w:t xml:space="preserve">18 new clients secured, representing a 40% increase over Q2 and exceeding our target by 15%. Key sectors include:</w:t>
      </w:r>
    </w:p>
    <w:p>
      <w:pPr>
        <w:numPr>
          <w:ilvl w:val="1"/>
          <w:numId w:val="1002"/>
        </w:numPr>
        <w:pStyle w:val="Compact"/>
      </w:pPr>
      <w:r>
        <w:t xml:space="preserve">Retail &amp; Hospitality (5 clients, including prominent CBD dining group)</w:t>
      </w:r>
    </w:p>
    <w:p>
      <w:pPr>
        <w:numPr>
          <w:ilvl w:val="1"/>
          <w:numId w:val="1002"/>
        </w:numPr>
        <w:pStyle w:val="Compact"/>
      </w:pPr>
      <w:r>
        <w:t xml:space="preserve">Healthcare &amp; Medical Services (4 clients, focusing on regulatory compliance)</w:t>
      </w:r>
    </w:p>
    <w:p>
      <w:pPr>
        <w:numPr>
          <w:ilvl w:val="1"/>
          <w:numId w:val="1002"/>
        </w:numPr>
        <w:pStyle w:val="Compact"/>
      </w:pPr>
      <w:r>
        <w:t xml:space="preserve">Technology Startups (6 clients, primarily targeting Melbourne Innovation Precinct)</w:t>
      </w:r>
    </w:p>
    <w:p>
      <w:pPr>
        <w:numPr>
          <w:ilvl w:val="1"/>
          <w:numId w:val="1002"/>
        </w:numPr>
        <w:pStyle w:val="Compact"/>
      </w:pPr>
      <w:r>
        <w:t xml:space="preserve">Manufacturing &amp; Logistics (3 clients, addressing supply chain resilience)</w:t>
      </w:r>
    </w:p>
    <w:p>
      <w:pPr>
        <w:numPr>
          <w:ilvl w:val="0"/>
          <w:numId w:val="1001"/>
        </w:numPr>
        <w:pStyle w:val="Compact"/>
      </w:pPr>
      <w:r>
        <w:rPr>
          <w:bCs/>
          <w:b/>
        </w:rPr>
        <w:t xml:space="preserve">Revenue Generated:</w:t>
      </w:r>
      <w:r>
        <w:t xml:space="preserve"> </w:t>
      </w:r>
      <w:r>
        <w:t xml:space="preserve">$1,250,000 AUD for Q3 alone. 78% of this revenue was derived from Melbourne-based businesses and regional Victorian clients serviced through our Melbourne office.</w:t>
      </w:r>
    </w:p>
    <w:p>
      <w:pPr>
        <w:numPr>
          <w:ilvl w:val="0"/>
          <w:numId w:val="1001"/>
        </w:numPr>
        <w:pStyle w:val="Compact"/>
      </w:pPr>
      <w:r>
        <w:rPr>
          <w:bCs/>
          <w:b/>
        </w:rPr>
        <w:t xml:space="preserve">Sales Conversion Rate:</w:t>
      </w:r>
      <w:r>
        <w:t xml:space="preserve"> </w:t>
      </w:r>
      <w:r>
        <w:t xml:space="preserve">Improved to 34% (from 28% in Q2), driven by hyper-localized sales pitches that directly address Melbourne-specific pain points outlined in our market analysis.</w:t>
      </w:r>
    </w:p>
    <w:p>
      <w:pPr>
        <w:numPr>
          <w:ilvl w:val="0"/>
          <w:numId w:val="1001"/>
        </w:numPr>
        <w:pStyle w:val="Compact"/>
      </w:pPr>
      <w:r>
        <w:rPr>
          <w:bCs/>
          <w:b/>
        </w:rPr>
        <w:t xml:space="preserve">Client Retention Rate:</w:t>
      </w:r>
      <w:r>
        <w:t xml:space="preserve"> </w:t>
      </w:r>
      <w:r>
        <w:t xml:space="preserve">Maintained at a strong 92%, with repeat business from existing Melbourne clients accounting for $415,000 AUD of Q3 revenue. This high retention underscores the tangible value delivered by our Business Consultant team in the Australia Melbourne market.</w:t>
      </w:r>
    </w:p>
    <w:bookmarkEnd w:id="22"/>
    <w:bookmarkStart w:id="23" w:name="X26c747cf30944f333432352dcb24bb8174b3033"/>
    <w:p>
      <w:pPr>
        <w:pStyle w:val="Heading2"/>
      </w:pPr>
      <w:r>
        <w:t xml:space="preserve">IV. Client Success Story: Melbourne Retail Transformation</w:t>
      </w:r>
    </w:p>
    <w:p>
      <w:pPr>
        <w:pStyle w:val="FirstParagraph"/>
      </w:pPr>
      <w:r>
        <w:rPr>
          <w:iCs/>
          <w:i/>
        </w:rPr>
        <w:t xml:space="preserve">Client:</w:t>
      </w:r>
      <w:r>
        <w:t xml:space="preserve"> </w:t>
      </w:r>
      <w:r>
        <w:t xml:space="preserve">"UrbanBites," a mid-sized Melbourne restaurant group with 8 locations across inner-city suburbs (Collingwood, Fitzroy, Southbank).</w:t>
      </w:r>
    </w:p>
    <w:p>
      <w:pPr>
        <w:pStyle w:val="BodyText"/>
      </w:pPr>
      <w:r>
        <w:rPr>
          <w:iCs/>
          <w:i/>
        </w:rPr>
        <w:t xml:space="preserve">Challenge:</w:t>
      </w:r>
      <w:r>
        <w:t xml:space="preserve"> </w:t>
      </w:r>
      <w:r>
        <w:t xml:space="preserve">Facing declining foot traffic in CBD locations and intense competition from new entrants. Struggled with operational inefficiencies and lack of data-driven marketing strategies specific to Melbourne's diverse customer base.</w:t>
      </w:r>
    </w:p>
    <w:p>
      <w:pPr>
        <w:pStyle w:val="BodyText"/>
      </w:pPr>
      <w:r>
        <w:rPr>
          <w:iCs/>
          <w:i/>
        </w:rPr>
        <w:t xml:space="preserve">Business Consultant Solution:</w:t>
      </w:r>
      <w:r>
        <w:t xml:space="preserve"> </w:t>
      </w:r>
      <w:r>
        <w:t xml:space="preserve">Our Melbourne-based team conducted a comprehensive audit, focusing on local consumer behavior trends (using Victorian demographic data), competitor analysis within the specific suburbs, and optimized operational workflows for Victoria's regulatory environment. We implemented a localized digital marketing strategy targeting Melbourne residents using geo-fenced promotions and launched a loyalty program integrated with popular Victorian transport apps.</w:t>
      </w:r>
    </w:p>
    <w:p>
      <w:pPr>
        <w:pStyle w:val="BodyText"/>
      </w:pPr>
      <w:r>
        <w:rPr>
          <w:iCs/>
          <w:i/>
        </w:rPr>
        <w:t xml:space="preserve">Result:</w:t>
      </w:r>
      <w:r>
        <w:t xml:space="preserve"> </w:t>
      </w:r>
      <w:r>
        <w:t xml:space="preserve">Within 5 months, UrbanBites achieved a 22% increase in foot traffic at all locations, a 15% reduction in operational costs (attributed to optimized staffing schedules aligned with Melbourne’s weekend patterns), and a significant boost in online reservation bookings. The success was directly linked to the Business Consultant's deep understanding of the Australia Melbourne market dynamics.</w:t>
      </w:r>
    </w:p>
    <w:bookmarkEnd w:id="23"/>
    <w:bookmarkStart w:id="24" w:name="X94c1ecebd1e3c5e404bf9c680d17a26e24f0df7"/>
    <w:p>
      <w:pPr>
        <w:pStyle w:val="Heading2"/>
      </w:pPr>
      <w:r>
        <w:t xml:space="preserve">V. Service Offerings Driving Success in Australia Melbourne</w:t>
      </w:r>
    </w:p>
    <w:p>
      <w:pPr>
        <w:pStyle w:val="FirstParagraph"/>
      </w:pPr>
      <w:r>
        <w:t xml:space="preserve">Our core services are explicitly designed for Australian businesses, with Melbourne as the primary operational base:</w:t>
      </w:r>
    </w:p>
    <w:p>
      <w:pPr>
        <w:numPr>
          <w:ilvl w:val="0"/>
          <w:numId w:val="1003"/>
        </w:numPr>
        <w:pStyle w:val="Compact"/>
      </w:pPr>
      <w:r>
        <w:rPr>
          <w:bCs/>
          <w:b/>
        </w:rPr>
        <w:t xml:space="preserve">Melbourne Market Entry Strategy:</w:t>
      </w:r>
      <w:r>
        <w:t xml:space="preserve"> </w:t>
      </w:r>
      <w:r>
        <w:t xml:space="preserve">For international firms targeting the Victoria market, including understanding local regulations (ASIC, ACCC), cultural nuances in business dealings (e.g., relationship-building practices in Melbourne), and identifying optimal suburban locations.</w:t>
      </w:r>
    </w:p>
    <w:p>
      <w:pPr>
        <w:numPr>
          <w:ilvl w:val="0"/>
          <w:numId w:val="1003"/>
        </w:numPr>
        <w:pStyle w:val="Compact"/>
      </w:pPr>
      <w:r>
        <w:rPr>
          <w:bCs/>
          <w:b/>
        </w:rPr>
        <w:t xml:space="preserve">VicReg Compliance &amp; Risk Assessment:</w:t>
      </w:r>
      <w:r>
        <w:t xml:space="preserve"> </w:t>
      </w:r>
      <w:r>
        <w:t xml:space="preserve">Dedicated service auditing client operations against Victorian legislation (Building Codes, Health &amp; Safety Standards, Environmental Protection Act) – a critical need for local businesses avoiding costly penalties.</w:t>
      </w:r>
    </w:p>
    <w:p>
      <w:pPr>
        <w:numPr>
          <w:ilvl w:val="0"/>
          <w:numId w:val="1003"/>
        </w:numPr>
        <w:pStyle w:val="Compact"/>
      </w:pPr>
      <w:r>
        <w:rPr>
          <w:bCs/>
          <w:b/>
        </w:rPr>
        <w:t xml:space="preserve">Melbourne Growth Hacking:</w:t>
      </w:r>
      <w:r>
        <w:t xml:space="preserve"> </w:t>
      </w:r>
      <w:r>
        <w:t xml:space="preserve">Targeted strategies for scaling within Melbourne's competitive landscape, leveraging insights into specific suburb demographics (e.g., high-income areas like Toorak vs. emerging tech hubs like East Melbourne).</w:t>
      </w:r>
    </w:p>
    <w:p>
      <w:pPr>
        <w:pStyle w:val="FirstParagraph"/>
      </w:pPr>
      <w:r>
        <w:t xml:space="preserve">Building on Q3 momentum, we recommend the following actions to solidify our position as the premier Business Consultant provider in Australia Melbourne:</w:t>
      </w:r>
    </w:p>
    <w:p>
      <w:pPr>
        <w:numPr>
          <w:ilvl w:val="0"/>
          <w:numId w:val="1004"/>
        </w:numPr>
        <w:pStyle w:val="Compact"/>
      </w:pPr>
      <w:r>
        <w:rPr>
          <w:bCs/>
          <w:b/>
        </w:rPr>
        <w:t xml:space="preserve">Deepen Local Partnerships:</w:t>
      </w:r>
      <w:r>
        <w:t xml:space="preserve"> </w:t>
      </w:r>
      <w:r>
        <w:t xml:space="preserve">Forge strategic alliances with key Melbourne institutions: Chamber of Commerce Victoria, TechVic, and local universities (e.g., University of Melbourne Business School) to co-host events focused on Melbourne business challenges.</w:t>
      </w:r>
    </w:p>
    <w:p>
      <w:pPr>
        <w:numPr>
          <w:ilvl w:val="0"/>
          <w:numId w:val="1004"/>
        </w:numPr>
        <w:pStyle w:val="Compact"/>
      </w:pPr>
      <w:r>
        <w:rPr>
          <w:bCs/>
          <w:b/>
        </w:rPr>
        <w:t xml:space="preserve">Develop 'Melbourne-Specific' Service Packages:</w:t>
      </w:r>
      <w:r>
        <w:t xml:space="preserve"> </w:t>
      </w:r>
      <w:r>
        <w:t xml:space="preserve">Create tiered offerings like "CBD Business Optimization" or "Regional Victorian Expansion Kit," explicitly marketed for the unique needs identified within our Q3 data. This will enhance perceived value for Australian clients seeking local expertise.</w:t>
      </w:r>
    </w:p>
    <w:p>
      <w:pPr>
        <w:numPr>
          <w:ilvl w:val="0"/>
          <w:numId w:val="1004"/>
        </w:numPr>
        <w:pStyle w:val="Compact"/>
      </w:pPr>
      <w:r>
        <w:rPr>
          <w:bCs/>
          <w:b/>
        </w:rPr>
        <w:t xml:space="preserve">Invest in Melbourne Talent Development:</w:t>
      </w:r>
      <w:r>
        <w:t xml:space="preserve"> </w:t>
      </w:r>
      <w:r>
        <w:t xml:space="preserve">Expand our recruitment of consultants with deep roots in Melbourne business networks and proven experience across key Victorian sectors (e.g., healthcare, logistics). Ensure all new hires receive intensive Victoria-specific compliance and market culture training.</w:t>
      </w:r>
    </w:p>
    <w:p>
      <w:pPr>
        <w:numPr>
          <w:ilvl w:val="0"/>
          <w:numId w:val="1004"/>
        </w:numPr>
        <w:pStyle w:val="Compact"/>
      </w:pPr>
      <w:r>
        <w:rPr>
          <w:bCs/>
          <w:b/>
        </w:rPr>
        <w:t xml:space="preserve">Leverage Data for Hyper-Local Insights:</w:t>
      </w:r>
      <w:r>
        <w:t xml:space="preserve"> </w:t>
      </w:r>
      <w:r>
        <w:t xml:space="preserve">Utilize Melbourne-centric data sources (e.g., ABS Victoria reports, local council economic surveys) to develop quarterly industry briefings for clients and internal sales teams, reinforcing our position as the indispensable Melbourne Business Consultant.</w:t>
      </w:r>
    </w:p>
    <w:bookmarkEnd w:id="24"/>
    <w:bookmarkStart w:id="25" w:name="vii.-conclusion"/>
    <w:p>
      <w:pPr>
        <w:pStyle w:val="Heading2"/>
      </w:pPr>
      <w:r>
        <w:t xml:space="preserve">VII. Conclusion</w:t>
      </w:r>
    </w:p>
    <w:p>
      <w:pPr>
        <w:pStyle w:val="FirstParagraph"/>
      </w:pPr>
      <w:r>
        <w:t xml:space="preserve">The Q3 2024 Sales Report unequivocally demonstrates the critical success of our localized strategy for Business Consultant services within Australia Melbourne. The 28% YoY revenue growth, coupled with high client acquisition rates and exceptional retention, validates our investment in deep market immersion. Our team's ability to translate complex Australian regulatory environments and nuanced Melbourne business culture into clear, actionable strategies is the core driver of this success.</w:t>
      </w:r>
    </w:p>
    <w:p>
      <w:pPr>
        <w:pStyle w:val="BodyText"/>
      </w:pPr>
      <w:r>
        <w:t xml:space="preserve">As we enter the final quarter of 2024, the demand for a Business Consultant who understands not just Australia's national framework but specifically the pulse of Melbourne's economy – from its bustling CBD to its vibrant suburban networks – has never been higher. The strategic recommendations outlined in this report are designed to capitalize on this momentum, ensuring our business continues to be the preferred choice for ambitious Australian companies seeking growth within Melbourne. Our commitment is clear: delivering unparalleled Business Consultant expertise that makes a measurable difference for every client operating in Australia Melbourne.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Business Consultant Services - Melbourne, Australia</dc:title>
  <dc:creator/>
  <dc:language>en</dc:language>
  <cp:keywords/>
  <dcterms:created xsi:type="dcterms:W3CDTF">2026-07-24T06:08:55Z</dcterms:created>
  <dcterms:modified xsi:type="dcterms:W3CDTF">2026-07-24T06:08:55Z</dcterms:modified>
</cp:coreProperties>
</file>

<file path=docProps/custom.xml><?xml version="1.0" encoding="utf-8"?>
<Properties xmlns="http://schemas.openxmlformats.org/officeDocument/2006/custom-properties" xmlns:vt="http://schemas.openxmlformats.org/officeDocument/2006/docPropsVTypes"/>
</file>