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8" w:name="X716b6e2b9bbf313f195c2c41a4d846391bfe30a"/>
    <w:p>
      <w:pPr>
        <w:pStyle w:val="Heading1"/>
      </w:pPr>
      <w:r>
        <w:t xml:space="preserve">Comprehensive Sales Report: Business Consultant Services for the Dhaka Market, Bangladesh</w:t>
      </w:r>
    </w:p>
    <w:bookmarkStart w:id="20" w:name="executive-summary"/>
    <w:p>
      <w:pPr>
        <w:pStyle w:val="Heading2"/>
      </w:pPr>
      <w:r>
        <w:t xml:space="preserve">Executive Summary</w:t>
      </w:r>
    </w:p>
    <w:p>
      <w:pPr>
        <w:pStyle w:val="FirstParagraph"/>
      </w:pPr>
      <w:r>
        <w:t xml:space="preserve">This Sales Report details the performance of our business consulting services across Dhaka, Bangladesh during Q3 2023. As a leading Business Consultant firm operating within Bangladesh's dynamic economic landscape, we have achieved remarkable growth in client acquisition and service delivery. The report underscores strategic wins in key sectors including manufacturing, retail, and emerging technology startups – all critical to Bangladesh Dhaka's $50 billion economy. Our consultancy has positioned itself as an indispensable partner for local enterprises navigating complex market transformations.</w:t>
      </w:r>
    </w:p>
    <w:bookmarkEnd w:id="20"/>
    <w:bookmarkStart w:id="21" w:name="Xd1b6d5285105e1f2844ccb10fd94bc98162cce7"/>
    <w:p>
      <w:pPr>
        <w:pStyle w:val="Heading2"/>
      </w:pPr>
      <w:r>
        <w:t xml:space="preserve">Market Context: Bangladesh Dhaka Business Environment</w:t>
      </w:r>
    </w:p>
    <w:p>
      <w:pPr>
        <w:pStyle w:val="FirstParagraph"/>
      </w:pPr>
      <w:r>
        <w:t xml:space="preserve">Dhaka remains the commercial nerve center of Bangladesh, contributing 38% of the nation's GDP and housing over 15 million residents. With a projected annual economic growth rate of 6.5% (World Bank, 2023), businesses in Dhaka face dual pressures: rapid digital transformation demands and intense competition from regional players. As a Business Consultant specializing in Bangladesh Dhaka operations, our firm has developed sector-specific expertise to address these unique challenges. Our localized approach – incorporating cultural nuances of Bangladeshi business practices and understanding the regulatory environment under BIDA (Bangladesh Investment Development Authority) – has been central to our success.</w:t>
      </w:r>
    </w:p>
    <w:bookmarkEnd w:id="21"/>
    <w:bookmarkStart w:id="22"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Previous Quarter (Q2)</w:t>
            </w:r>
          </w:p>
        </w:tc>
        <w:tc>
          <w:tcPr/>
          <w:p>
            <w:pPr>
              <w:pStyle w:val="Compact"/>
              <w:jc w:val="left"/>
            </w:pPr>
            <w:r>
              <w:t xml:space="preserve">Growth Rate</w:t>
            </w:r>
          </w:p>
        </w:tc>
      </w:tr>
      <w:tr>
        <w:tc>
          <w:tcPr/>
          <w:p>
            <w:pPr>
              <w:pStyle w:val="Compact"/>
              <w:jc w:val="left"/>
            </w:pPr>
            <w:r>
              <w:t xml:space="preserve">New Client Acquisition</w:t>
            </w:r>
          </w:p>
        </w:tc>
        <w:tc>
          <w:tcPr/>
          <w:p>
            <w:pPr>
              <w:pStyle w:val="Compact"/>
              <w:jc w:val="left"/>
            </w:pPr>
            <w:r>
              <w:t xml:space="preserve">17 clients</w:t>
            </w:r>
          </w:p>
        </w:tc>
        <w:tc>
          <w:tcPr/>
          <w:p>
            <w:pPr>
              <w:pStyle w:val="Compact"/>
              <w:jc w:val="left"/>
            </w:pPr>
            <w:r>
              <w:t xml:space="preserve">12 clients</w:t>
            </w:r>
          </w:p>
        </w:tc>
        <w:tc>
          <w:tcPr/>
          <w:p>
            <w:pPr>
              <w:pStyle w:val="Compact"/>
              <w:jc w:val="left"/>
            </w:pPr>
            <w:r>
              <w:t xml:space="preserve">+41.7%</w:t>
            </w:r>
          </w:p>
        </w:tc>
      </w:tr>
      <w:tr>
        <w:tc>
          <w:tcPr/>
          <w:p>
            <w:pPr>
              <w:pStyle w:val="Compact"/>
              <w:jc w:val="left"/>
            </w:pPr>
            <w:r>
              <w:t xml:space="preserve">Total Revenue Generated</w:t>
            </w:r>
          </w:p>
        </w:tc>
        <w:tc>
          <w:tcPr/>
          <w:p>
            <w:pPr>
              <w:pStyle w:val="Compact"/>
              <w:jc w:val="left"/>
            </w:pPr>
            <w:r>
              <w:t xml:space="preserve">$385,000</w:t>
            </w:r>
          </w:p>
        </w:tc>
        <w:tc>
          <w:tcPr/>
          <w:p>
            <w:pPr>
              <w:pStyle w:val="Compact"/>
              <w:jc w:val="left"/>
            </w:pPr>
            <w:r>
              <w:t xml:space="preserve">$298,500</w:t>
            </w:r>
          </w:p>
        </w:tc>
        <w:tc>
          <w:tcPr/>
          <w:p>
            <w:pPr>
              <w:pStyle w:val="Compact"/>
              <w:jc w:val="left"/>
            </w:pPr>
            <w:r>
              <w:t xml:space="preserve">+29.0%</w:t>
            </w:r>
          </w:p>
        </w:tc>
      </w:tr>
      <w:tr>
        <w:tc>
          <w:tcPr/>
          <w:p>
            <w:pPr>
              <w:pStyle w:val="Compact"/>
              <w:jc w:val="left"/>
            </w:pPr>
            <w:r>
              <w:t xml:space="preserve">Client Retention Rate</w:t>
            </w:r>
          </w:p>
        </w:tc>
        <w:tc>
          <w:tcPr/>
          <w:p>
            <w:pPr>
              <w:pStyle w:val="Compact"/>
              <w:jc w:val="left"/>
            </w:pPr>
            <w:r>
              <w:t xml:space="preserve">87%</w:t>
            </w:r>
          </w:p>
        </w:tc>
        <w:tc>
          <w:tcPr/>
          <w:p>
            <w:pPr>
              <w:pStyle w:val="Compact"/>
              <w:jc w:val="left"/>
            </w:pPr>
            <w:r>
              <w:t xml:space="preserve">83%</w:t>
            </w:r>
          </w:p>
        </w:tc>
        <w:tc>
          <w:tcPr/>
          <w:p>
            <w:pPr>
              <w:pStyle w:val="Compact"/>
              <w:jc w:val="left"/>
            </w:pPr>
            <w:r>
              <w:t xml:space="preserve">+4.0% YoY</w:t>
            </w:r>
          </w:p>
        </w:tc>
      </w:tr>
    </w:tbl>
    <w:p>
      <w:pPr>
        <w:pStyle w:val="BodyText"/>
      </w:pPr>
      <w:r>
        <w:t xml:space="preserve">The 29% revenue growth in Q3 reflects our strategic focus on high-value engagement models for Dhaka-based enterprises. Notable wins include a $150,000 contract with a major Dhaka textile exporter seeking supply chain optimization and a $125,000 digital transformation package for an e-commerce startup operating across Bangladesh's urban centers.</w:t>
      </w:r>
    </w:p>
    <w:bookmarkEnd w:id="22"/>
    <w:bookmarkStart w:id="23" w:name="key-achievements-in-bangladesh-dhaka"/>
    <w:p>
      <w:pPr>
        <w:pStyle w:val="Heading2"/>
      </w:pPr>
      <w:r>
        <w:t xml:space="preserve">Key Achievements in Bangladesh Dhaka</w:t>
      </w:r>
    </w:p>
    <w:p>
      <w:pPr>
        <w:numPr>
          <w:ilvl w:val="0"/>
          <w:numId w:val="1001"/>
        </w:numPr>
        <w:pStyle w:val="Compact"/>
      </w:pPr>
      <w:r>
        <w:rPr>
          <w:bCs/>
          <w:b/>
        </w:rPr>
        <w:t xml:space="preserve">Textile Sector Transformation:</w:t>
      </w:r>
      <w:r>
        <w:t xml:space="preserve"> </w:t>
      </w:r>
      <w:r>
        <w:t xml:space="preserve">Delivered a 34% cost reduction strategy for "Dhaka Weavers Ltd" (a top 50 Bangladeshi textile manufacturer), directly contributing to their $2.1M export surge in Q3. Our Business Consultant team conducted on-ground workshops across Dhaka's industrial zones, adapting recommendations to local labor practices and infrastructure constraints.</w:t>
      </w:r>
    </w:p>
    <w:p>
      <w:pPr>
        <w:numPr>
          <w:ilvl w:val="0"/>
          <w:numId w:val="1001"/>
        </w:numPr>
        <w:pStyle w:val="Compact"/>
      </w:pPr>
      <w:r>
        <w:rPr>
          <w:bCs/>
          <w:b/>
        </w:rPr>
        <w:t xml:space="preserve">Startup Acceleration Program:</w:t>
      </w:r>
      <w:r>
        <w:t xml:space="preserve"> </w:t>
      </w:r>
      <w:r>
        <w:t xml:space="preserve">Launched a bespoke "Dhaka Scale-Up Initiative" targeting 20 tech startups, resulting in 8 new client engagements. This program included government grant navigation assistance – critical for Bangladeshi entrepreneurs accessing the $50M Startup Bangladesh Fund.</w:t>
      </w:r>
    </w:p>
    <w:p>
      <w:pPr>
        <w:numPr>
          <w:ilvl w:val="0"/>
          <w:numId w:val="1001"/>
        </w:numPr>
        <w:pStyle w:val="Compact"/>
      </w:pPr>
      <w:r>
        <w:rPr>
          <w:bCs/>
          <w:b/>
        </w:rPr>
        <w:t xml:space="preserve">Digital Compliance Framework:</w:t>
      </w:r>
      <w:r>
        <w:t xml:space="preserve"> </w:t>
      </w:r>
      <w:r>
        <w:t xml:space="preserve">Developed a GDPR-compliant data management system for Dhaka-based financial services firm "TrustBank," addressing Bangladesh's evolving digital regulation under the Digital Security Act 2018. This project generated $75,000 in revenue and became a reference case for our consultant team.</w:t>
      </w:r>
    </w:p>
    <w:bookmarkEnd w:id="23"/>
    <w:bookmarkStart w:id="24" w:name="challenges-strategic-solutions-in-dhaka"/>
    <w:p>
      <w:pPr>
        <w:pStyle w:val="Heading2"/>
      </w:pPr>
      <w:r>
        <w:t xml:space="preserve">Challenges &amp; Strategic Solutions in Dhaka</w:t>
      </w:r>
    </w:p>
    <w:p>
      <w:pPr>
        <w:pStyle w:val="FirstParagraph"/>
      </w:pPr>
      <w:r>
        <w:t xml:space="preserve">Operating as a Business Consultant in Bangladesh Dhaka presents unique hurdles:</w:t>
      </w:r>
    </w:p>
    <w:p>
      <w:pPr>
        <w:numPr>
          <w:ilvl w:val="0"/>
          <w:numId w:val="1002"/>
        </w:numPr>
        <w:pStyle w:val="Compact"/>
      </w:pPr>
      <w:r>
        <w:rPr>
          <w:bCs/>
          <w:b/>
        </w:rPr>
        <w:t xml:space="preserve">Cultural Nuances:</w:t>
      </w:r>
      <w:r>
        <w:t xml:space="preserve"> </w:t>
      </w:r>
      <w:r>
        <w:t xml:space="preserve">Initial resistance from family-owned businesses required adapting engagement approaches. Our consultants now incorporate weekly "community listening sessions" with local business associations (e.g., Dhaka Chamber of Commerce) to build trust.</w:t>
      </w:r>
    </w:p>
    <w:p>
      <w:pPr>
        <w:numPr>
          <w:ilvl w:val="0"/>
          <w:numId w:val="1002"/>
        </w:numPr>
        <w:pStyle w:val="Compact"/>
      </w:pPr>
      <w:r>
        <w:rPr>
          <w:bCs/>
          <w:b/>
        </w:rPr>
        <w:t xml:space="preserve">Infrastructure Limitations:</w:t>
      </w:r>
      <w:r>
        <w:t xml:space="preserve"> </w:t>
      </w:r>
      <w:r>
        <w:t xml:space="preserve">Power outages in Dhaka's industrial areas necessitated offline-capable digital solutions. We redesigned client reports into SMS-based systems for real-time operations tracking – adopted by 65% of manufacturing clients.</w:t>
      </w:r>
    </w:p>
    <w:p>
      <w:pPr>
        <w:numPr>
          <w:ilvl w:val="0"/>
          <w:numId w:val="1002"/>
        </w:numPr>
        <w:pStyle w:val="Compact"/>
      </w:pPr>
      <w:r>
        <w:rPr>
          <w:bCs/>
          <w:b/>
        </w:rPr>
        <w:t xml:space="preserve">Regulatory Complexity:</w:t>
      </w:r>
      <w:r>
        <w:t xml:space="preserve"> </w:t>
      </w:r>
      <w:r>
        <w:t xml:space="preserve">Navigating Bangladesh's multiple business registration bodies (BIDA, RMG Division, etc.) was streamlined through our "Dhaka Compliance Passport" – a single dashboard for all local regulatory requirements.</w:t>
      </w:r>
    </w:p>
    <w:bookmarkEnd w:id="24"/>
    <w:bookmarkStart w:id="25" w:name="Xe38d01b1b1bf0ad090d9fcce7defec6a27b25cf"/>
    <w:p>
      <w:pPr>
        <w:pStyle w:val="Heading2"/>
      </w:pPr>
      <w:r>
        <w:t xml:space="preserve">Market Analysis: Sector-Specific Opportunities</w:t>
      </w:r>
    </w:p>
    <w:p>
      <w:pPr>
        <w:pStyle w:val="FirstParagraph"/>
      </w:pPr>
      <w:r>
        <w:t xml:space="preserve">Our analysis identifies three high-potential sectors for Business Consultant services in Bangladesh Dhaka:</w:t>
      </w:r>
    </w:p>
    <w:p>
      <w:pPr>
        <w:numPr>
          <w:ilvl w:val="0"/>
          <w:numId w:val="1003"/>
        </w:numPr>
        <w:pStyle w:val="Compact"/>
      </w:pPr>
      <w:r>
        <w:rPr>
          <w:bCs/>
          <w:b/>
        </w:rPr>
        <w:t xml:space="preserve">Retail &amp; E-commerce:</w:t>
      </w:r>
      <w:r>
        <w:t xml:space="preserve"> </w:t>
      </w:r>
      <w:r>
        <w:t xml:space="preserve">The Dhaka retail market is expanding at 18% annually. Our data shows 73% of local retailers lack digital inventory management, presenting a $62M service opportunity.</w:t>
      </w:r>
    </w:p>
    <w:p>
      <w:pPr>
        <w:numPr>
          <w:ilvl w:val="0"/>
          <w:numId w:val="1003"/>
        </w:numPr>
        <w:pStyle w:val="Compact"/>
      </w:pPr>
      <w:r>
        <w:rPr>
          <w:bCs/>
          <w:b/>
        </w:rPr>
        <w:t xml:space="preserve">SME Digital Adoption:</w:t>
      </w:r>
      <w:r>
        <w:t xml:space="preserve"> </w:t>
      </w:r>
      <w:r>
        <w:t xml:space="preserve">Only 19% of Dhaka's SMEs have integrated online sales channels (World Bank, 2023). We've developed a "Digital First" package targeting this gap with localized mobile commerce solutions.</w:t>
      </w:r>
    </w:p>
    <w:p>
      <w:pPr>
        <w:numPr>
          <w:ilvl w:val="0"/>
          <w:numId w:val="1003"/>
        </w:numPr>
        <w:pStyle w:val="Compact"/>
      </w:pPr>
      <w:r>
        <w:rPr>
          <w:bCs/>
          <w:b/>
        </w:rPr>
        <w:t xml:space="preserve">Export-Driven Manufacturing:</w:t>
      </w:r>
      <w:r>
        <w:t xml:space="preserve"> </w:t>
      </w:r>
      <w:r>
        <w:t xml:space="preserve">With Bangladesh's exports hitting $45B in FY2023, there's urgent demand for export compliance expertise. Our consultants now partner with the Dhaka Exporters Association to deliver certification training.</w:t>
      </w:r>
    </w:p>
    <w:bookmarkEnd w:id="25"/>
    <w:bookmarkStart w:id="26" w:name="Xc5c7eb51a2698651074e36263db0441d6e3c170"/>
    <w:p>
      <w:pPr>
        <w:pStyle w:val="Heading2"/>
      </w:pPr>
      <w:r>
        <w:t xml:space="preserve">Strategic Recommendations for Future Growth</w:t>
      </w:r>
    </w:p>
    <w:p>
      <w:pPr>
        <w:pStyle w:val="FirstParagraph"/>
      </w:pPr>
      <w:r>
        <w:t xml:space="preserve">To capitalize on Bangladesh Dhaka's market potential, we recommend:</w:t>
      </w:r>
    </w:p>
    <w:p>
      <w:pPr>
        <w:numPr>
          <w:ilvl w:val="0"/>
          <w:numId w:val="1004"/>
        </w:numPr>
        <w:pStyle w:val="Compact"/>
      </w:pPr>
      <w:r>
        <w:rPr>
          <w:bCs/>
          <w:b/>
        </w:rPr>
        <w:t xml:space="preserve">Establish a Dedicated Dhaka Innovation Hub:</w:t>
      </w:r>
      <w:r>
        <w:t xml:space="preserve"> </w:t>
      </w:r>
      <w:r>
        <w:t xml:space="preserve">Create a physical presence in Gulshan-1 with local staff to provide same-day consultation services, addressing the critical "proximity factor" for Bangladeshi clients.</w:t>
      </w:r>
    </w:p>
    <w:p>
      <w:pPr>
        <w:numPr>
          <w:ilvl w:val="0"/>
          <w:numId w:val="1004"/>
        </w:numPr>
        <w:pStyle w:val="Compact"/>
      </w:pPr>
      <w:r>
        <w:rPr>
          <w:bCs/>
          <w:b/>
        </w:rPr>
        <w:t xml:space="preserve">Leverage Government Partnerships:</w:t>
      </w:r>
      <w:r>
        <w:t xml:space="preserve"> </w:t>
      </w:r>
      <w:r>
        <w:t xml:space="preserve">Collaborate with Bangladesh's Ministry of Commerce on national business development programs to access public sector contracts worth $200M annually.</w:t>
      </w:r>
    </w:p>
    <w:p>
      <w:pPr>
        <w:numPr>
          <w:ilvl w:val="0"/>
          <w:numId w:val="1004"/>
        </w:numPr>
        <w:pStyle w:val="Compact"/>
      </w:pPr>
      <w:r>
        <w:rPr>
          <w:bCs/>
          <w:b/>
        </w:rPr>
        <w:t xml:space="preserve">Develop Sector-Specific Certifications:</w:t>
      </w:r>
      <w:r>
        <w:t xml:space="preserve"> </w:t>
      </w:r>
      <w:r>
        <w:t xml:space="preserve">Launch "Bangladesh Export Excellence" certification for manufacturers, positioning our Business Consultant team as the industry authority.</w:t>
      </w:r>
    </w:p>
    <w:bookmarkEnd w:id="26"/>
    <w:bookmarkStart w:id="27" w:name="X3d320f99eefa43f7877a5bb6fcfff9ec3e1bae8"/>
    <w:p>
      <w:pPr>
        <w:pStyle w:val="Heading2"/>
      </w:pPr>
      <w:r>
        <w:t xml:space="preserve">Conclusion: The Bangladesh Dhaka Opportunity</w:t>
      </w:r>
    </w:p>
    <w:p>
      <w:pPr>
        <w:pStyle w:val="FirstParagraph"/>
      </w:pPr>
      <w:r>
        <w:t xml:space="preserve">This Sales Report confirms that strategic Business Consultant services are not merely beneficial but essential for enterprises operating within Bangladesh Dhaka. Our Q3 results demonstrate a 41.7% increase in new clients and consistent revenue growth, directly attributable to our localized approach that respects Dhaka's business culture while delivering measurable outcomes.</w:t>
      </w:r>
    </w:p>
    <w:p>
      <w:pPr>
        <w:pStyle w:val="BodyText"/>
      </w:pPr>
      <w:r>
        <w:t xml:space="preserve">The market opportunity is substantial: With Bangladesh's middle class projected to reach 80 million by 2030, the demand for professional Business Consultant services will accelerate. Our firm has positioned itself at the forefront of this growth through data-driven strategies tailored to Dhaka's unique challenges – from power grid limitations to cultural business protocols. As we enter Q4 2023, we project 35% year-over-year revenue growth in Bangladesh Dhaka, with a target of acquiring 25+ new clients across manufacturing and digital sectors.</w:t>
      </w:r>
    </w:p>
    <w:p>
      <w:pPr>
        <w:pStyle w:val="BodyText"/>
      </w:pPr>
      <w:r>
        <w:t xml:space="preserve">For businesses navigating Bangladesh's dynamic economy, partnering with a Business Consultant who understands Dhaka's realities isn't just an investment – it's the critical differentiator for sustainable growth. We remain committed to delivering this localized expertise as the cornerstone of our service model across all engagements in Bangladesh Dhaka.</w:t>
      </w:r>
    </w:p>
    <w:p>
      <w:pPr>
        <w:pStyle w:val="BodyText"/>
      </w:pPr>
      <w:r>
        <w:rPr>
          <w:bCs/>
          <w:b/>
        </w:rPr>
        <w:t xml:space="preserve">Prepared by:</w:t>
      </w:r>
      <w:r>
        <w:t xml:space="preserve"> </w:t>
      </w:r>
      <w:r>
        <w:t xml:space="preserve">Strategic Growth Division, Global Business Consultants</w:t>
      </w:r>
      <w:r>
        <w:br/>
      </w:r>
      <w:r>
        <w:rPr>
          <w:bCs/>
          <w:b/>
        </w:rPr>
        <w:t xml:space="preserve">Date:</w:t>
      </w:r>
      <w:r>
        <w:t xml:space="preserve"> </w:t>
      </w:r>
      <w:r>
        <w:t xml:space="preserve">October 15, 2023</w:t>
      </w:r>
      <w:r>
        <w:br/>
      </w:r>
      <w:r>
        <w:rPr>
          <w:bCs/>
          <w:b/>
        </w:rPr>
        <w:t xml:space="preserve">Region:</w:t>
      </w:r>
      <w:r>
        <w:t xml:space="preserve"> </w:t>
      </w:r>
      <w:r>
        <w:t xml:space="preserve">Bangladesh Dhaka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Bangladesh Dhaka</dc:title>
  <dc:creator/>
  <dc:language>en</dc:language>
  <cp:keywords/>
  <dcterms:created xsi:type="dcterms:W3CDTF">2025-12-10T12:16:26Z</dcterms:created>
  <dcterms:modified xsi:type="dcterms:W3CDTF">2025-12-10T12:16:26Z</dcterms:modified>
</cp:coreProperties>
</file>

<file path=docProps/custom.xml><?xml version="1.0" encoding="utf-8"?>
<Properties xmlns="http://schemas.openxmlformats.org/officeDocument/2006/custom-properties" xmlns:vt="http://schemas.openxmlformats.org/officeDocument/2006/docPropsVTypes"/>
</file>