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Sales</w:t>
      </w:r>
      <w:r>
        <w:t xml:space="preserve"> </w:t>
      </w:r>
      <w:r>
        <w:t xml:space="preserve">Report:</w:t>
      </w:r>
      <w:r>
        <w:t xml:space="preserve"> </w:t>
      </w:r>
      <w:r>
        <w:t xml:space="preserve">Belgium</w:t>
      </w:r>
      <w:r>
        <w:t xml:space="preserve"> </w:t>
      </w:r>
      <w:r>
        <w:t xml:space="preserve">Brussels</w:t>
      </w:r>
      <w:r>
        <w:t xml:space="preserve"> </w:t>
      </w:r>
      <w:r>
        <w:t xml:space="preserve">Market</w:t>
      </w:r>
      <w:r>
        <w:t xml:space="preserve"> </w:t>
      </w:r>
      <w:r>
        <w:t xml:space="preserve">Analysis</w:t>
      </w:r>
    </w:p>
    <w:bookmarkStart w:id="28" w:name="X16c357854eff95ee98523ef90ba1d993ee8e3db"/>
    <w:p>
      <w:pPr>
        <w:pStyle w:val="Heading1"/>
      </w:pPr>
      <w:r>
        <w:t xml:space="preserve">Comprehensive Sales Report: Business Consultant Performance in Belgium Brussels Market (Q3 2023)</w:t>
      </w:r>
    </w:p>
    <w:bookmarkStart w:id="20" w:name="executive-summary"/>
    <w:p>
      <w:pPr>
        <w:pStyle w:val="Heading2"/>
      </w:pPr>
      <w:r>
        <w:t xml:space="preserve">Executive Summary</w:t>
      </w:r>
    </w:p>
    <w:p>
      <w:pPr>
        <w:pStyle w:val="FirstParagraph"/>
      </w:pPr>
      <w:r>
        <w:t xml:space="preserve">This official Sales Report details the performance of our Business Consultant services across the strategic market of Belgium Brussels during Q3 2023. As a leading provider of specialized business advisory solutions, our team in Belgium Brussels has demonstrated exceptional growth and client satisfaction metrics. This document serves as a critical analysis for stakeholders, highlighting how our unique approach to business consultancy directly addresses the complex economic landscape of the European capital. The report confirms that strategic engagement with Belgian enterprises through our Business Consultant framework has yielded a 32% year-over-year revenue increase, solidifying our position in this vital market.</w:t>
      </w:r>
    </w:p>
    <w:bookmarkEnd w:id="20"/>
    <w:bookmarkStart w:id="21" w:name="X6214f038f1f35469576cd74136502c0e99453db"/>
    <w:p>
      <w:pPr>
        <w:pStyle w:val="Heading2"/>
      </w:pPr>
      <w:r>
        <w:t xml:space="preserve">Market Context: Belgium Brussels as a Strategic Hub</w:t>
      </w:r>
    </w:p>
    <w:p>
      <w:pPr>
        <w:pStyle w:val="FirstParagraph"/>
      </w:pPr>
      <w:r>
        <w:t xml:space="preserve">Belgium Brussels functions as the de facto capital of the European Union and hosts over 70 international organizations. This concentration creates a uniquely dynamic business environment where multinational corporations, EU institutions, and local enterprises demand sophisticated advisory services. Our Business Consultant division has specifically tailored its offerings to navigate Belgium Brussels' regulatory complexity, multilingual requirements (Dutch/French/English), and EU compliance frameworks. The Sales Report confirms that 87% of our new contracts in Q3 were secured through targeted engagement with Brussels-based entities, proving the market's strategic importance.</w:t>
      </w:r>
    </w:p>
    <w:bookmarkEnd w:id="21"/>
    <w:bookmarkStart w:id="22" w:name="X5c78325db1778ae6b1a8ae2de02100453baa067"/>
    <w:p>
      <w:pPr>
        <w:pStyle w:val="Heading2"/>
      </w:pPr>
      <w:r>
        <w:t xml:space="preserve">Key Sales Achievements: Belgium Brussels Focus</w:t>
      </w:r>
    </w:p>
    <w:p>
      <w:pPr>
        <w:pStyle w:val="FirstParagraph"/>
      </w:pPr>
      <w:r>
        <w:t xml:space="preserve">Our Business Consultant team in Belgium Brussels exceeded all quarterly targets through three core initiatives:</w:t>
      </w:r>
    </w:p>
    <w:p>
      <w:pPr>
        <w:numPr>
          <w:ilvl w:val="0"/>
          <w:numId w:val="1001"/>
        </w:numPr>
        <w:pStyle w:val="Compact"/>
      </w:pPr>
      <w:r>
        <w:rPr>
          <w:bCs/>
          <w:b/>
        </w:rPr>
        <w:t xml:space="preserve">EU Regulatory Compliance Package:</w:t>
      </w:r>
      <w:r>
        <w:t xml:space="preserve"> </w:t>
      </w:r>
      <w:r>
        <w:t xml:space="preserve">Developed a specialized service addressing GDPR 3.0 and EU Green Deal requirements, securing 14 major contracts with Brussels-based multinationals including a €2.1M deal with an international logistics firm.</w:t>
      </w:r>
    </w:p>
    <w:p>
      <w:pPr>
        <w:numPr>
          <w:ilvl w:val="0"/>
          <w:numId w:val="1001"/>
        </w:numPr>
        <w:pStyle w:val="Compact"/>
      </w:pPr>
      <w:r>
        <w:rPr>
          <w:bCs/>
          <w:b/>
        </w:rPr>
        <w:t xml:space="preserve">Post-Brexit Transition Strategy:</w:t>
      </w:r>
      <w:r>
        <w:t xml:space="preserve"> </w:t>
      </w:r>
      <w:r>
        <w:t xml:space="preserve">Addressed critical market gaps for UK-EU trade continuity, resulting in 9 new clients from the UK manufacturing sector expanding operations into Belgium Brussels.</w:t>
      </w:r>
    </w:p>
    <w:p>
      <w:pPr>
        <w:numPr>
          <w:ilvl w:val="0"/>
          <w:numId w:val="1001"/>
        </w:numPr>
        <w:pStyle w:val="Compact"/>
      </w:pPr>
      <w:r>
        <w:rPr>
          <w:bCs/>
          <w:b/>
        </w:rPr>
        <w:t xml:space="preserve">Digital Transformation Accelerator:</w:t>
      </w:r>
      <w:r>
        <w:t xml:space="preserve"> </w:t>
      </w:r>
      <w:r>
        <w:t xml:space="preserve">Piloted a joint venture with Brussels Innovation Hub, driving 23% of total Q3 revenue through co-created solutions for SMEs in the digital economy.</w:t>
      </w:r>
    </w:p>
    <w:p>
      <w:pPr>
        <w:pStyle w:val="FirstParagraph"/>
      </w:pPr>
      <w:r>
        <w:t xml:space="preserve">This targeted approach has positioned us as the preferred Business Consultant for complex EU-market entry scenarios. The Sales Report quantifies a 41% average client retention rate in Belgium Brussels – significantly above the industry benchmark of 28% – demonstrating exceptional value delivery.</w:t>
      </w:r>
    </w:p>
    <w:bookmarkEnd w:id="22"/>
    <w:bookmarkStart w:id="23" w:name="X22dd6aedabde86f6ff8bd800a04f791f91c3e04"/>
    <w:p>
      <w:pPr>
        <w:pStyle w:val="Heading2"/>
      </w:pPr>
      <w:r>
        <w:t xml:space="preserve">Client Success Story: European Logistics Leader</w:t>
      </w:r>
    </w:p>
    <w:p>
      <w:pPr>
        <w:pStyle w:val="FirstParagraph"/>
      </w:pPr>
      <w:r>
        <w:t xml:space="preserve">"Partnering with our Business Consultant team in Belgium Brussels transformed our EU operational strategy. Their deep understanding of Brussels' regulatory ecosystem and local business culture enabled seamless compliance during our €50M expansion. Within six months, we reduced regulatory risks by 68% and entered three new Belgian markets ahead of schedule." –</w:t>
      </w:r>
      <w:r>
        <w:t xml:space="preserve"> </w:t>
      </w:r>
      <w:r>
        <w:rPr>
          <w:iCs/>
          <w:i/>
        </w:rPr>
        <w:t xml:space="preserve">Anne-Marie Dubois, Head of Operations, TransEuropa Logistics (Brussels HQ)</w:t>
      </w:r>
    </w:p>
    <w:bookmarkEnd w:id="23"/>
    <w:bookmarkStart w:id="24" w:name="Xa1ddab65c1bf87941f8d6eec34d2adaa52103b8"/>
    <w:p>
      <w:pPr>
        <w:pStyle w:val="Heading2"/>
      </w:pPr>
      <w:r>
        <w:t xml:space="preserve">Market Analysis: Belgium Brussels Competitive Landscape</w:t>
      </w:r>
    </w:p>
    <w:p>
      <w:pPr>
        <w:pStyle w:val="FirstParagraph"/>
      </w:pPr>
      <w:r>
        <w:t xml:space="preserve">The Sales Report identifies three critical trends shaping our Business Consultant opportunities in Belgium Brussels:</w:t>
      </w:r>
    </w:p>
    <w:p>
      <w:pPr>
        <w:numPr>
          <w:ilvl w:val="0"/>
          <w:numId w:val="1002"/>
        </w:numPr>
        <w:pStyle w:val="Compact"/>
      </w:pPr>
      <w:r>
        <w:rPr>
          <w:bCs/>
          <w:b/>
        </w:rPr>
        <w:t xml:space="preserve">EU Policy Acceleration:</w:t>
      </w:r>
      <w:r>
        <w:t xml:space="preserve"> </w:t>
      </w:r>
      <w:r>
        <w:t xml:space="preserve">With 14 new EU regulations proposed in Q3, demand for proactive compliance advisory surged by 53% YoY. Our Business Consultant team's early adoption of regulatory foresight tools positioned us to capture 79% of new compliance contracts.</w:t>
      </w:r>
    </w:p>
    <w:p>
      <w:pPr>
        <w:numPr>
          <w:ilvl w:val="0"/>
          <w:numId w:val="1002"/>
        </w:numPr>
        <w:pStyle w:val="Compact"/>
      </w:pPr>
      <w:r>
        <w:rPr>
          <w:bCs/>
          <w:b/>
        </w:rPr>
        <w:t xml:space="preserve">SME Digitalization Push:</w:t>
      </w:r>
      <w:r>
        <w:t xml:space="preserve"> </w:t>
      </w:r>
      <w:r>
        <w:t xml:space="preserve">As Belgium Brussels implements its National Digital Strategy (2021-2030), SMEs require specialized consultancy. Our tailored "Brussels Digital Maturity Assessment" generated €1.8M in new revenue through 47 small business engagements.</w:t>
      </w:r>
    </w:p>
    <w:p>
      <w:pPr>
        <w:numPr>
          <w:ilvl w:val="0"/>
          <w:numId w:val="1002"/>
        </w:numPr>
        <w:pStyle w:val="Compact"/>
      </w:pPr>
      <w:r>
        <w:rPr>
          <w:bCs/>
          <w:b/>
        </w:rPr>
        <w:t xml:space="preserve">Eco-Transition Demand:</w:t>
      </w:r>
      <w:r>
        <w:t xml:space="preserve"> </w:t>
      </w:r>
      <w:r>
        <w:t xml:space="preserve">The European Green Deal created unprecedented need for sustainability advisory. Our Business Consultant certified experts secured 3 strategic partnerships with Brussels-based environmental agencies, including a landmark contract with the Brussels Environment Agency to develop carbon accounting frameworks.</w:t>
      </w:r>
    </w:p>
    <w:bookmarkEnd w:id="24"/>
    <w:bookmarkStart w:id="25" w:name="challenges-and-strategic-solutions"/>
    <w:p>
      <w:pPr>
        <w:pStyle w:val="Heading2"/>
      </w:pPr>
      <w:r>
        <w:t xml:space="preserve">Challenges and Strategic Solutions</w:t>
      </w:r>
    </w:p>
    <w:p>
      <w:pPr>
        <w:pStyle w:val="FirstParagraph"/>
      </w:pPr>
      <w:r>
        <w:t xml:space="preserve">While Belgium Brussels presents exceptional opportunities, our Business Consultant team navigated several market-specific challenges:</w:t>
      </w:r>
    </w:p>
    <w:p>
      <w:pPr>
        <w:numPr>
          <w:ilvl w:val="0"/>
          <w:numId w:val="1003"/>
        </w:numPr>
        <w:pStyle w:val="Compact"/>
      </w:pPr>
      <w:r>
        <w:rPr>
          <w:bCs/>
          <w:b/>
        </w:rPr>
        <w:t xml:space="preserve">Language Complexity:</w:t>
      </w:r>
      <w:r>
        <w:t xml:space="preserve"> </w:t>
      </w:r>
      <w:r>
        <w:t xml:space="preserve">Implemented a "Brussels Bilingual Advisory Protocol" with all consultants required to pass French/Dutch proficiency tests. This reduced communication errors by 92% and enhanced client trust.</w:t>
      </w:r>
    </w:p>
    <w:p>
      <w:pPr>
        <w:numPr>
          <w:ilvl w:val="0"/>
          <w:numId w:val="1003"/>
        </w:numPr>
        <w:pStyle w:val="Compact"/>
      </w:pPr>
      <w:r>
        <w:rPr>
          <w:bCs/>
          <w:b/>
        </w:rPr>
        <w:t xml:space="preserve">Regulatory Fragmentation:</w:t>
      </w:r>
      <w:r>
        <w:t xml:space="preserve"> </w:t>
      </w:r>
      <w:r>
        <w:t xml:space="preserve">Created an internal "EU Regulatory Intelligence Unit" focused exclusively on Belgium Brussels' dual jurisdiction (Flemish/Walloon) requirements, accelerating service delivery by 40%.</w:t>
      </w:r>
    </w:p>
    <w:p>
      <w:pPr>
        <w:numPr>
          <w:ilvl w:val="0"/>
          <w:numId w:val="1003"/>
        </w:numPr>
        <w:pStyle w:val="Compact"/>
      </w:pPr>
      <w:r>
        <w:rPr>
          <w:bCs/>
          <w:b/>
        </w:rPr>
        <w:t xml:space="preserve">Cultural Nuances:</w:t>
      </w:r>
      <w:r>
        <w:t xml:space="preserve"> </w:t>
      </w:r>
      <w:r>
        <w:t xml:space="preserve">Developed a "Brussels Business Etiquette Framework" training program addressing local negotiation styles and decision-making hierarchies, directly contributing to a 27% increase in closed deals with Belgian enterprises.</w:t>
      </w:r>
    </w:p>
    <w:bookmarkEnd w:id="25"/>
    <w:bookmarkStart w:id="26" w:name="Xe605a0722fa78b048c32749e1eb230f3de5fa1b"/>
    <w:p>
      <w:pPr>
        <w:pStyle w:val="Heading2"/>
      </w:pPr>
      <w:r>
        <w:t xml:space="preserve">Future Outlook: Belgium Brussels Growth Trajectory</w:t>
      </w:r>
    </w:p>
    <w:p>
      <w:pPr>
        <w:pStyle w:val="FirstParagraph"/>
      </w:pPr>
      <w:r>
        <w:t xml:space="preserve">Based on current market indicators, our Business Consultant division projects 38% growth in Belgium Brussels during 2024. Key initiatives include:</w:t>
      </w:r>
    </w:p>
    <w:p>
      <w:pPr>
        <w:numPr>
          <w:ilvl w:val="0"/>
          <w:numId w:val="1004"/>
        </w:numPr>
        <w:pStyle w:val="Compact"/>
      </w:pPr>
      <w:r>
        <w:t xml:space="preserve">Establishing a dedicated "Brussels Innovation Center" for real-time EU policy monitoring</w:t>
      </w:r>
    </w:p>
    <w:p>
      <w:pPr>
        <w:numPr>
          <w:ilvl w:val="0"/>
          <w:numId w:val="1004"/>
        </w:numPr>
        <w:pStyle w:val="Compact"/>
      </w:pPr>
      <w:r>
        <w:t xml:space="preserve">Launching a specialized subsidiary focused on SMEs in the Brussels-Capital Region's emerging tech ecosystem</w:t>
      </w:r>
    </w:p>
    <w:p>
      <w:pPr>
        <w:numPr>
          <w:ilvl w:val="0"/>
          <w:numId w:val="1004"/>
        </w:numPr>
        <w:pStyle w:val="Compact"/>
      </w:pPr>
      <w:r>
        <w:t xml:space="preserve">Developing partnership frameworks with 5 key Belgian business chambers (Chambre de Commerce de Bruxelles, etc.)</w:t>
      </w:r>
    </w:p>
    <w:p>
      <w:pPr>
        <w:pStyle w:val="FirstParagraph"/>
      </w:pPr>
      <w:r>
        <w:t xml:space="preserve">The Sales Report emphasizes that Belgium Brussels is no longer just a regional market – it's the nerve center for European business strategy. Our Business Consultant model has been validated as the most effective approach to navigating this environment, with client acquisition costs 34% lower than competitors due to our localized expertise.</w:t>
      </w:r>
    </w:p>
    <w:bookmarkEnd w:id="26"/>
    <w:bookmarkStart w:id="27" w:name="X6b6e33c6b480949da1f2781b6d4148e203f1eba"/>
    <w:p>
      <w:pPr>
        <w:pStyle w:val="Heading2"/>
      </w:pPr>
      <w:r>
        <w:t xml:space="preserve">Conclusion: Strategic Imperative in Belgium Brussels</w:t>
      </w:r>
    </w:p>
    <w:p>
      <w:pPr>
        <w:pStyle w:val="FirstParagraph"/>
      </w:pPr>
      <w:r>
        <w:t xml:space="preserve">This Sales Report unequivocally confirms that our Business Consultant division's specialization in Belgium Brussels delivers superior market penetration and value. By embedding ourselves within the strategic fabric of the European capital – understanding its regulatory DNA, cultural nuances, and economic pulse – we've transformed client outcomes while driving exceptional revenue growth. The data demonstrates that firms engaging a dedicated Business Consultant with deep Belgium Brussels expertise achieve 57% faster market adaptation than those using generic consultancy services.</w:t>
      </w:r>
    </w:p>
    <w:p>
      <w:pPr>
        <w:pStyle w:val="BodyText"/>
      </w:pPr>
      <w:r>
        <w:t xml:space="preserve">As the European Union continues evolving through its current policy transformation wave, Belgium Brussels will remain the critical battleground for business strategy. Our Sales Report concludes that doubling down on localized Business Consultant capabilities in this market isn't just advantageous – it's strategically essential for sustained global competitiveness. We recommend allocating 42% of our 2024 innovation budget specifically to Belgium Brussels market development, ensuring we maintain our leadership position as the premier Business Consultant for European enterprise strategy.</w:t>
      </w:r>
    </w:p>
    <w:p>
      <w:pPr>
        <w:pStyle w:val="BodyText"/>
      </w:pPr>
      <w:r>
        <w:rPr>
          <w:bCs/>
          <w:b/>
        </w:rPr>
        <w:t xml:space="preserve">Prepared by: Global Business Insights Division</w:t>
      </w:r>
      <w:r>
        <w:br/>
      </w:r>
      <w:r>
        <w:rPr>
          <w:iCs/>
          <w:i/>
        </w:rPr>
        <w:t xml:space="preserve">Validated for Belgium Brussels Market | Q3 2023 Sales Report | Confidential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Sales Report: Belgium Brussels Market Analysis</dc:title>
  <dc:creator/>
  <dc:language>en</dc:language>
  <cp:keywords/>
  <dcterms:created xsi:type="dcterms:W3CDTF">2026-07-24T19:17:04Z</dcterms:created>
  <dcterms:modified xsi:type="dcterms:W3CDTF">2026-07-24T19:17:04Z</dcterms:modified>
</cp:coreProperties>
</file>

<file path=docProps/custom.xml><?xml version="1.0" encoding="utf-8"?>
<Properties xmlns="http://schemas.openxmlformats.org/officeDocument/2006/custom-properties" xmlns:vt="http://schemas.openxmlformats.org/officeDocument/2006/docPropsVTypes"/>
</file>