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3d8ae25349762ce4aa174a46008f10df32627d1"/>
    <w:p>
      <w:pPr>
        <w:pStyle w:val="Heading1"/>
      </w:pPr>
      <w:r>
        <w:t xml:space="preserve">Comprehensive Sales Report: Business Consultant Services Performance in Canada Toronto Market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Global Business Consulting Group</w:t>
      </w:r>
    </w:p>
    <w:bookmarkStart w:id="20" w:name="i.-executive-summary"/>
    <w:p>
      <w:pPr>
        <w:pStyle w:val="Heading2"/>
      </w:pPr>
      <w:r>
        <w:t xml:space="preserve">I. Executive Summary</w:t>
      </w:r>
    </w:p>
    <w:p>
      <w:pPr>
        <w:pStyle w:val="FirstParagraph"/>
      </w:pPr>
      <w:r>
        <w:t xml:space="preserve">This Sales Report presents a detailed analysis of our Business Consultant services across the Canada Toronto market during Q3 2023. The report demonstrates exceptional growth in demand for strategic business consulting solutions within Toronto's dynamic economic landscape. As the most populous city in Canada and a global financial hub, Toronto has emerged as our highest-performing market, contributing 37% of total North American revenue. This Sales Report confirms that our tailored Business Consultant engagements are driving unprecedented client retention (92%) and expansion opportunities in Canada Toronto.</w:t>
      </w:r>
    </w:p>
    <w:bookmarkEnd w:id="20"/>
    <w:bookmarkStart w:id="21" w:name="X498edb2a1f0d9dd7008a51c166ce4e824dba064"/>
    <w:p>
      <w:pPr>
        <w:pStyle w:val="Heading2"/>
      </w:pPr>
      <w:r>
        <w:t xml:space="preserve">II. Market Context: Canada Toronto's Strategic Importance</w:t>
      </w:r>
    </w:p>
    <w:p>
      <w:pPr>
        <w:pStyle w:val="FirstParagraph"/>
      </w:pPr>
      <w:r>
        <w:t xml:space="preserve">Canada Toronto represents the epicenter of business innovation in North America, housing 60% of Fortune 500 Canadian headquarters and serving as a magnet for multinational corporations. The city's $387 billion GDP (2023) creates fertile ground for Business Consultant services across key sectors including finance, technology, healthcare, and manufacturing. This Sales Report highlights how our firm has capitalized on Toronto's unique market dynamics by deploying consultants with deep local expertise in Canadian regulatory frameworks and cultural nuances.</w:t>
      </w:r>
    </w:p>
    <w:bookmarkEnd w:id="21"/>
    <w:bookmarkStart w:id="24" w:name="X651d7e53ff188993097a57dbe7898dae7deebf5"/>
    <w:p>
      <w:pPr>
        <w:pStyle w:val="Heading2"/>
      </w:pPr>
      <w:r>
        <w:t xml:space="preserve">III. Q3 2023 Sales Performance Highlights</w:t>
      </w:r>
    </w:p>
    <w:bookmarkStart w:id="22" w:name="a.-revenue-growth-metrics"/>
    <w:p>
      <w:pPr>
        <w:pStyle w:val="Heading3"/>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MoM Change</w:t>
            </w:r>
          </w:p>
        </w:tc>
      </w:tr>
      <w:tr>
        <w:tc>
          <w:tcPr/>
          <w:p>
            <w:pPr>
              <w:pStyle w:val="Compact"/>
              <w:jc w:val="left"/>
            </w:pPr>
            <w:r>
              <w:t xml:space="preserve">Total Revenue (CAD)</w:t>
            </w:r>
          </w:p>
        </w:tc>
        <w:tc>
          <w:tcPr/>
          <w:p>
            <w:pPr>
              <w:pStyle w:val="Compact"/>
              <w:jc w:val="left"/>
            </w:pPr>
            <w:r>
              <w:t xml:space="preserve">$1,845,000</w:t>
            </w:r>
          </w:p>
        </w:tc>
        <w:tc>
          <w:tcPr/>
          <w:p>
            <w:pPr>
              <w:pStyle w:val="Compact"/>
              <w:jc w:val="left"/>
            </w:pPr>
            <w:r>
              <w:t xml:space="preserve">$2,678,500</w:t>
            </w:r>
          </w:p>
        </w:tc>
        <w:tc>
          <w:tcPr/>
          <w:p>
            <w:pPr>
              <w:pStyle w:val="Compact"/>
              <w:jc w:val="left"/>
            </w:pPr>
            <w:r>
              <w:t xml:space="preserve">+45.1%</w:t>
            </w:r>
          </w:p>
        </w:tc>
      </w:tr>
      <w:tr>
        <w:tc>
          <w:tcPr/>
          <w:p>
            <w:pPr>
              <w:pStyle w:val="Compact"/>
              <w:jc w:val="left"/>
            </w:pPr>
            <w:r>
              <w:t xml:space="preserve">New Client Acquisitions</w:t>
            </w:r>
          </w:p>
        </w:tc>
        <w:tc>
          <w:tcPr/>
          <w:p>
            <w:pPr>
              <w:pStyle w:val="Compact"/>
              <w:jc w:val="left"/>
            </w:pPr>
            <w:r>
              <w:t xml:space="preserve">12</w:t>
            </w:r>
          </w:p>
        </w:tc>
        <w:tc>
          <w:tcPr/>
          <w:p>
            <w:pPr>
              <w:pStyle w:val="Compact"/>
              <w:jc w:val="left"/>
            </w:pPr>
            <w:r>
              <w:t xml:space="preserve">23</w:t>
            </w:r>
          </w:p>
        </w:tc>
        <w:tc>
          <w:tcPr/>
          <w:p>
            <w:pPr>
              <w:pStyle w:val="Compact"/>
              <w:jc w:val="left"/>
            </w:pPr>
            <w:r>
              <w:t xml:space="preserve">+91.7%</w:t>
            </w:r>
          </w:p>
        </w:tc>
      </w:tr>
      <w:tr>
        <w:tc>
          <w:tcPr/>
          <w:p>
            <w:pPr>
              <w:pStyle w:val="Compact"/>
              <w:jc w:val="left"/>
            </w:pPr>
            <w:r>
              <w:t xml:space="preserve">Avg. Contract Value (CAD)</w:t>
            </w:r>
          </w:p>
        </w:tc>
        <w:tc>
          <w:tcPr/>
          <w:p>
            <w:pPr>
              <w:pStyle w:val="Compact"/>
              <w:jc w:val="left"/>
            </w:pPr>
            <w:r>
              <w:t xml:space="preserve">$145,000</w:t>
            </w:r>
          </w:p>
        </w:tc>
        <w:tc>
          <w:tcPr/>
          <w:p>
            <w:pPr>
              <w:pStyle w:val="Compact"/>
              <w:jc w:val="left"/>
            </w:pPr>
            <w:r>
              <w:t xml:space="preserve">$182,500</w:t>
            </w:r>
          </w:p>
        </w:tc>
        <w:tc>
          <w:tcPr/>
          <w:p>
            <w:pPr>
              <w:pStyle w:val="Compact"/>
              <w:jc w:val="left"/>
            </w:pPr>
            <w:r>
              <w:t xml:space="preserve">+25.9%</w:t>
            </w:r>
          </w:p>
        </w:tc>
      </w:tr>
    </w:tbl>
    <w:bookmarkEnd w:id="22"/>
    <w:bookmarkStart w:id="23" w:name="X2e5439417329652015226ee221aaf5b6fb53330"/>
    <w:p>
      <w:pPr>
        <w:pStyle w:val="Heading3"/>
      </w:pPr>
      <w:r>
        <w:t xml:space="preserve">B. Sector-Specific Performance in Canada Toronto</w:t>
      </w:r>
    </w:p>
    <w:p>
      <w:pPr>
        <w:pStyle w:val="FirstParagraph"/>
      </w:pPr>
      <w:r>
        <w:rPr>
          <w:bCs/>
          <w:b/>
        </w:rPr>
        <w:t xml:space="preserve">Financial Services (42% of revenue):</w:t>
      </w:r>
      <w:r>
        <w:t xml:space="preserve"> </w:t>
      </w:r>
      <w:r>
        <w:t xml:space="preserve">Partnerships with major Toronto-based banks (RBC, TD) for digital transformation initiatives drove 58% YoY growth. Our Business Consultant team delivered a $3.2M cost optimization framework that accelerated ROI by 17 months.</w:t>
      </w:r>
    </w:p>
    <w:p>
      <w:pPr>
        <w:pStyle w:val="BodyText"/>
      </w:pPr>
      <w:r>
        <w:rPr>
          <w:bCs/>
          <w:b/>
        </w:rPr>
        <w:t xml:space="preserve">Tech &amp; Startups (31% of revenue):</w:t>
      </w:r>
      <w:r>
        <w:t xml:space="preserve"> </w:t>
      </w:r>
      <w:r>
        <w:t xml:space="preserve">Toronto's burgeoning startup ecosystem (5,200+ tech companies) generated 8 new engagements. A flagship Business Consultant project with a Series C fintech startup increased user acquisition efficiency by 41%, directly attributed to our Canada Toronto market expertise.</w:t>
      </w:r>
    </w:p>
    <w:p>
      <w:pPr>
        <w:pStyle w:val="BodyText"/>
      </w:pPr>
      <w:r>
        <w:rPr>
          <w:bCs/>
          <w:b/>
        </w:rPr>
        <w:t xml:space="preserve">Healthcare (18% of revenue):</w:t>
      </w:r>
      <w:r>
        <w:t xml:space="preserve"> </w:t>
      </w:r>
      <w:r>
        <w:t xml:space="preserve">Provincial healthcare initiatives created demand for our Business Consultant services in operational restructuring. A $950K engagement with a Toronto hospital network reduced patient wait times by 28% through process optimization.</w:t>
      </w:r>
    </w:p>
    <w:bookmarkEnd w:id="23"/>
    <w:bookmarkEnd w:id="24"/>
    <w:bookmarkStart w:id="28" w:name="X04301341447a7e7f4e8db9459d5f82c50d64ca8"/>
    <w:p>
      <w:pPr>
        <w:pStyle w:val="Heading2"/>
      </w:pPr>
      <w:r>
        <w:t xml:space="preserve">IV. Key Success Factors Driving Sales in Canada Toronto</w:t>
      </w:r>
    </w:p>
    <w:bookmarkStart w:id="25" w:name="a.-hyperlocal-market-intelligence"/>
    <w:p>
      <w:pPr>
        <w:pStyle w:val="Heading3"/>
      </w:pPr>
      <w:r>
        <w:t xml:space="preserve">A. Hyperlocal Market Intelligence</w:t>
      </w:r>
    </w:p>
    <w:p>
      <w:pPr>
        <w:pStyle w:val="FirstParagraph"/>
      </w:pPr>
      <w:r>
        <w:t xml:space="preserve">Our Business Consultant team maintains exclusive partnerships with Toronto Chamber of Commerce and MaRS Discovery District, providing real-time insights into Canada's regulatory shifts (e.g., AI Act compliance, ESG reporting). This local intelligence directly informed our Q3 sales strategy, enabling us to position solutions that addressed immediate Toronto market pain points.</w:t>
      </w:r>
    </w:p>
    <w:bookmarkEnd w:id="25"/>
    <w:bookmarkStart w:id="26" w:name="b.-cultural-alignment"/>
    <w:p>
      <w:pPr>
        <w:pStyle w:val="Heading3"/>
      </w:pPr>
      <w:r>
        <w:t xml:space="preserve">B. Cultural Alignment</w:t>
      </w:r>
    </w:p>
    <w:p>
      <w:pPr>
        <w:pStyle w:val="FirstParagraph"/>
      </w:pPr>
      <w:r>
        <w:t xml:space="preserve">The Sales Report identifies that 89% of Toronto clients prioritize consultants who understand Canadian business culture. Our Canada Toronto-based Business Consultant team (75% local hires) demonstrated this through cultural competency training and localized case studies, resulting in a 40% higher win rate versus national competitors.</w:t>
      </w:r>
    </w:p>
    <w:bookmarkEnd w:id="26"/>
    <w:bookmarkStart w:id="27" w:name="c.-digital-sales-transformation"/>
    <w:p>
      <w:pPr>
        <w:pStyle w:val="Heading3"/>
      </w:pPr>
      <w:r>
        <w:t xml:space="preserve">C. Digital Sales Transformation</w:t>
      </w:r>
    </w:p>
    <w:p>
      <w:pPr>
        <w:pStyle w:val="FirstParagraph"/>
      </w:pPr>
      <w:r>
        <w:t xml:space="preserve">We implemented Toronto-specific CRM segmentation, creating dedicated sales pipelines for Canadian markets. This targeted approach increased lead conversion by 29% during Q3, directly contributing to our Canada Toronto revenue growth.</w:t>
      </w:r>
    </w:p>
    <w:bookmarkEnd w:id="27"/>
    <w:bookmarkEnd w:id="28"/>
    <w:bookmarkStart w:id="29" w:name="v.-challenges-strategic-responses"/>
    <w:p>
      <w:pPr>
        <w:pStyle w:val="Heading2"/>
      </w:pPr>
      <w:r>
        <w:t xml:space="preserve">V. Challenges &amp; Strategic Responses</w:t>
      </w:r>
    </w:p>
    <w:p>
      <w:pPr>
        <w:pStyle w:val="FirstParagraph"/>
      </w:pPr>
      <w:r>
        <w:rPr>
          <w:bCs/>
          <w:b/>
        </w:rPr>
        <w:t xml:space="preserve">Challenge:</w:t>
      </w:r>
      <w:r>
        <w:t xml:space="preserve"> </w:t>
      </w:r>
      <w:r>
        <w:t xml:space="preserve">Intense competition from boutique Toronto consulting firms.</w:t>
      </w:r>
      <w:r>
        <w:br/>
      </w:r>
      <w:r>
        <w:rPr>
          <w:bCs/>
          <w:b/>
        </w:rPr>
        <w:t xml:space="preserve">Response:</w:t>
      </w:r>
      <w:r>
        <w:t xml:space="preserve"> </w:t>
      </w:r>
      <w:r>
        <w:t xml:space="preserve">Our Business Consultant team developed proprietary "Toronto Market Pulse" diagnostic tool (integrated into our Sales Report framework), providing clients with immediate competitive benchmarking. This differentiator secured 14 new contracts in Q3.</w:t>
      </w:r>
    </w:p>
    <w:p>
      <w:pPr>
        <w:pStyle w:val="BodyText"/>
      </w:pPr>
      <w:r>
        <w:rPr>
          <w:bCs/>
          <w:b/>
        </w:rPr>
        <w:t xml:space="preserve">Challenge:</w:t>
      </w:r>
      <w:r>
        <w:t xml:space="preserve"> </w:t>
      </w:r>
      <w:r>
        <w:t xml:space="preserve">Client expectations for faster ROI in Canada's high-cost market.</w:t>
      </w:r>
      <w:r>
        <w:br/>
      </w:r>
      <w:r>
        <w:rPr>
          <w:bCs/>
          <w:b/>
        </w:rPr>
        <w:t xml:space="preserve">Response:</w:t>
      </w:r>
      <w:r>
        <w:t xml:space="preserve"> </w:t>
      </w:r>
      <w:r>
        <w:t xml:space="preserve">We implemented phased delivery models (45-day quick wins, 90-day strategic roadmap), directly addressing Toronto clients' urgency. This approach increased client satisfaction scores by 33% (from 8.2 to 10.7/10) per our Q3 survey.</w:t>
      </w:r>
    </w:p>
    <w:bookmarkEnd w:id="29"/>
    <w:bookmarkStart w:id="30" w:name="X6e031b4e09b35aa2dc2c3dd6e5a1bdbad6434fe"/>
    <w:p>
      <w:pPr>
        <w:pStyle w:val="Heading2"/>
      </w:pPr>
      <w:r>
        <w:t xml:space="preserve">VI. Future Outlook &amp; Strategic Recommendations</w:t>
      </w:r>
    </w:p>
    <w:p>
      <w:pPr>
        <w:pStyle w:val="FirstParagraph"/>
      </w:pPr>
      <w:r>
        <w:t xml:space="preserve">The Canada Toronto market will continue to drive our global growth trajectory, with projected revenue increasing 55% YoY in 2024. This Sales Report recommends three strategic initiatives:</w:t>
      </w:r>
    </w:p>
    <w:p>
      <w:pPr>
        <w:numPr>
          <w:ilvl w:val="0"/>
          <w:numId w:val="1001"/>
        </w:numPr>
        <w:pStyle w:val="Compact"/>
      </w:pPr>
      <w:r>
        <w:rPr>
          <w:bCs/>
          <w:b/>
        </w:rPr>
        <w:t xml:space="preserve">Expand Toronto Delivery Hub:</w:t>
      </w:r>
      <w:r>
        <w:t xml:space="preserve"> </w:t>
      </w:r>
      <w:r>
        <w:t xml:space="preserve">Establishing a dedicated Business Consultant training academy in downtown Toronto to accelerate local talent development for Canada's evolving market needs.</w:t>
      </w:r>
    </w:p>
    <w:p>
      <w:pPr>
        <w:numPr>
          <w:ilvl w:val="0"/>
          <w:numId w:val="1001"/>
        </w:numPr>
        <w:pStyle w:val="Compact"/>
      </w:pPr>
      <w:r>
        <w:rPr>
          <w:bCs/>
          <w:b/>
        </w:rPr>
        <w:t xml:space="preserve">Develop Sector-Specific Canada Toronto Playbooks:</w:t>
      </w:r>
      <w:r>
        <w:t xml:space="preserve"> </w:t>
      </w:r>
      <w:r>
        <w:t xml:space="preserve">Creating specialized frameworks for key industries (e.g., "Toronto FinTech Regulatory Compliance Guide") to deepen our market penetration.</w:t>
      </w:r>
    </w:p>
    <w:p>
      <w:pPr>
        <w:numPr>
          <w:ilvl w:val="0"/>
          <w:numId w:val="1001"/>
        </w:numPr>
        <w:pStyle w:val="Compact"/>
      </w:pPr>
      <w:r>
        <w:rPr>
          <w:bCs/>
          <w:b/>
        </w:rPr>
        <w:t xml:space="preserve">Enhance Government Relations:</w:t>
      </w:r>
      <w:r>
        <w:t xml:space="preserve"> </w:t>
      </w:r>
      <w:r>
        <w:t xml:space="preserve">Leveraging Toronto's position as Canada's policy hub to secure government contracts through our Business Consultant team, targeting the new Federal Innovation Fund.</w:t>
      </w:r>
    </w:p>
    <w:bookmarkEnd w:id="30"/>
    <w:bookmarkStart w:id="31" w:name="vii.-conclusion"/>
    <w:p>
      <w:pPr>
        <w:pStyle w:val="Heading2"/>
      </w:pPr>
      <w:r>
        <w:t xml:space="preserve">VII. Conclusion</w:t>
      </w:r>
    </w:p>
    <w:p>
      <w:pPr>
        <w:pStyle w:val="FirstParagraph"/>
      </w:pPr>
      <w:r>
        <w:t xml:space="preserve">This Sales Report unequivocally demonstrates that our Business Consultant services have achieved exceptional traction in the Canada Toronto market, driven by localized expertise and strategic alignment with Toronto's unique business ecosystem. The 45% MoM revenue growth in Q3 confirms that our approach—centered on deep Toronto market knowledge, cultural fluency, and measurable outcomes—is resonating powerfully with clients. As we position for 2024, Canada Toronto will remain our strategic flagship market, requiring continued investment in local talent development and hyper-targeted service offerings. The success of this Business Consultant engagement model proves that specialized regional expertise is not just valuable—it's the key differentiator in Canada's competitive consulting landscape.</w:t>
      </w:r>
    </w:p>
    <w:p>
      <w:pPr>
        <w:pStyle w:val="BodyText"/>
      </w:pPr>
      <w:r>
        <w:rPr>
          <w:bCs/>
          <w:b/>
        </w:rPr>
        <w:t xml:space="preserve">Appendix:</w:t>
      </w:r>
      <w:r>
        <w:t xml:space="preserve"> </w:t>
      </w:r>
      <w:r>
        <w:t xml:space="preserve">Full client testimonials from Toronto engagements included in executive appendix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Canada Toronto</dc:title>
  <dc:creator/>
  <dc:language>en</dc:language>
  <cp:keywords/>
  <dcterms:created xsi:type="dcterms:W3CDTF">2026-07-21T11:07:01Z</dcterms:created>
  <dcterms:modified xsi:type="dcterms:W3CDTF">2026-07-21T11:07:01Z</dcterms:modified>
</cp:coreProperties>
</file>

<file path=docProps/custom.xml><?xml version="1.0" encoding="utf-8"?>
<Properties xmlns="http://schemas.openxmlformats.org/officeDocument/2006/custom-properties" xmlns:vt="http://schemas.openxmlformats.org/officeDocument/2006/docPropsVTypes"/>
</file>