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af6181a1cfbed66367ecc5ba3ce5f8672c6002c"/>
    <w:p>
      <w:pPr>
        <w:pStyle w:val="Heading1"/>
      </w:pPr>
      <w:r>
        <w:t xml:space="preserve">Sales Report: Business Consultant Performance in China Shanghai Market (Q3 2024)</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2024</w:t>
      </w:r>
      <w:r>
        <w:br/>
      </w:r>
      <w:r>
        <w:rPr>
          <w:bCs/>
          <w:b/>
        </w:rPr>
        <w:t xml:space="preserve">Prepared By:</w:t>
      </w:r>
      <w:r>
        <w:t xml:space="preserve"> </w:t>
      </w:r>
      <w:r>
        <w:t xml:space="preserve">Shanghai Business Development Team</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China's premier economic hub, Shanghai. In Q3 2024, our consultancy achieved a remarkable 18% year-over-year growth in client acquisition within Shanghai, securing 17 new enterprise contracts totaling $5.3 million USD. This success underscores the critical demand for strategic business consulting in Shanghai's dynamic market landscape. As the financial and commercial epicenter of China, Shanghai presents unparalleled opportunities where our specialized Business Consultant services deliver measurable ROI for multinational corporations and domestic enterprises alike.</w:t>
      </w:r>
    </w:p>
    <w:bookmarkEnd w:id="20"/>
    <w:bookmarkStart w:id="21" w:name="X1dfb3349bc6654567f9a403e895f62f12fcb06f"/>
    <w:p>
      <w:pPr>
        <w:pStyle w:val="Heading2"/>
      </w:pPr>
      <w:r>
        <w:t xml:space="preserve">II. Market Context: Why Shanghai Demands Strategic Consulting</w:t>
      </w:r>
    </w:p>
    <w:p>
      <w:pPr>
        <w:pStyle w:val="FirstParagraph"/>
      </w:pPr>
      <w:r>
        <w:t xml:space="preserve">Shanghai's economic ecosystem—home to 50% of China's Fortune 500 headquarters and the world's busiest container port—demands sophisticated business intelligence. The city's unique regulatory environment, rapid digital transformation (78% of enterprises accelerating AI adoption in 2024), and evolving consumer behaviors create complex challenges requiring expert navigation. Our Business Consultant team has positioned itself as the essential partner for organizations seeking to capitalize on Shanghai's opportunities while mitigating region-specific risks.</w:t>
      </w:r>
    </w:p>
    <w:bookmarkEnd w:id="21"/>
    <w:bookmarkStart w:id="22" w:name="Xe8906e8c444c6703e19737497f46099eddc0cb4"/>
    <w:p>
      <w:pPr>
        <w:pStyle w:val="Heading2"/>
      </w:pPr>
      <w:r>
        <w:t xml:space="preserve">III. Key Sales Performance Metrics (Shanghai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Client Acquisition (Shanghai)</w:t>
            </w:r>
          </w:p>
        </w:tc>
        <w:tc>
          <w:tcPr/>
          <w:p>
            <w:pPr>
              <w:pStyle w:val="Compact"/>
              <w:jc w:val="left"/>
            </w:pPr>
            <w:r>
              <w:t xml:space="preserve">17 contracts</w:t>
            </w:r>
          </w:p>
        </w:tc>
        <w:tc>
          <w:tcPr/>
          <w:p>
            <w:pPr>
              <w:pStyle w:val="Compact"/>
              <w:jc w:val="left"/>
            </w:pPr>
            <w:r>
              <w:t xml:space="preserve">14 contracts</w:t>
            </w:r>
          </w:p>
        </w:tc>
        <w:tc>
          <w:tcPr/>
          <w:p>
            <w:pPr>
              <w:pStyle w:val="Compact"/>
              <w:jc w:val="left"/>
            </w:pPr>
            <w:r>
              <w:t xml:space="preserve">+21.4%</w:t>
            </w:r>
          </w:p>
        </w:tc>
      </w:tr>
      <w:tr>
        <w:tc>
          <w:tcPr/>
          <w:p>
            <w:pPr>
              <w:pStyle w:val="Compact"/>
              <w:jc w:val="left"/>
            </w:pPr>
            <w:r>
              <w:t xml:space="preserve">Total Contract Value (Shanghai)</w:t>
            </w:r>
          </w:p>
        </w:tc>
        <w:tc>
          <w:tcPr/>
          <w:p>
            <w:pPr>
              <w:pStyle w:val="Compact"/>
              <w:jc w:val="left"/>
            </w:pPr>
            <w:r>
              <w:t xml:space="preserve">$5,300,000 USD</w:t>
            </w:r>
          </w:p>
        </w:tc>
        <w:tc>
          <w:tcPr/>
          <w:p>
            <w:pPr>
              <w:pStyle w:val="Compact"/>
              <w:jc w:val="left"/>
            </w:pPr>
            <w:r>
              <w:t xml:space="preserve">$4,528,679 USD</w:t>
            </w:r>
          </w:p>
        </w:tc>
        <w:tc>
          <w:tcPr/>
          <w:p>
            <w:pPr>
              <w:pStyle w:val="Compact"/>
              <w:jc w:val="left"/>
            </w:pPr>
            <w:r>
              <w:t xml:space="preserve">+17.1%</w:t>
            </w:r>
          </w:p>
        </w:tc>
      </w:tr>
      <w:tr>
        <w:tc>
          <w:tcPr/>
          <w:p>
            <w:pPr>
              <w:pStyle w:val="Compact"/>
              <w:jc w:val="left"/>
            </w:pPr>
            <w:r>
              <w:t xml:space="preserve">Client Retention Rate (Shanghai)</w:t>
            </w:r>
          </w:p>
        </w:tc>
        <w:tc>
          <w:tcPr/>
          <w:p>
            <w:pPr>
              <w:pStyle w:val="Compact"/>
              <w:jc w:val="left"/>
            </w:pPr>
            <w:r>
              <w:t xml:space="preserve">92%</w:t>
            </w:r>
          </w:p>
        </w:tc>
        <w:tc>
          <w:tcPr/>
          <w:p>
            <w:pPr>
              <w:pStyle w:val="Compact"/>
              <w:jc w:val="left"/>
            </w:pPr>
            <w:r>
              <w:t xml:space="preserve">86%</w:t>
            </w:r>
          </w:p>
        </w:tc>
        <w:tc>
          <w:tcPr/>
          <w:p>
            <w:pPr>
              <w:pStyle w:val="Compact"/>
              <w:jc w:val="left"/>
            </w:pPr>
            <w:r>
              <w:t xml:space="preserve">+6.0 percentage points</w:t>
            </w:r>
          </w:p>
        </w:tc>
      </w:tr>
      <w:tr>
        <w:tc>
          <w:tcPr/>
          <w:p>
            <w:pPr>
              <w:pStyle w:val="Compact"/>
              <w:jc w:val="left"/>
            </w:pPr>
            <w:r>
              <w:t xml:space="preserve">Avg. Deal Size</w:t>
            </w:r>
          </w:p>
        </w:tc>
        <w:tc>
          <w:tcPr/>
          <w:p>
            <w:pPr>
              <w:pStyle w:val="Compact"/>
              <w:jc w:val="left"/>
            </w:pPr>
            <w:r>
              <w:t xml:space="preserve">$311,765 USD</w:t>
            </w:r>
          </w:p>
        </w:tc>
        <w:tc>
          <w:tcPr/>
          <w:p>
            <w:pPr>
              <w:pStyle w:val="Compact"/>
              <w:jc w:val="left"/>
            </w:pPr>
            <w:r>
              <w:t xml:space="preserve">$323,477 USD</w:t>
            </w:r>
          </w:p>
        </w:tc>
        <w:tc>
          <w:tcPr/>
          <w:p>
            <w:pPr>
              <w:pStyle w:val="Compact"/>
              <w:jc w:val="left"/>
            </w:pPr>
            <w:r>
              <w:t xml:space="preserve">-3.6%</w:t>
            </w:r>
          </w:p>
        </w:tc>
      </w:tr>
    </w:tbl>
    <w:p>
      <w:pPr>
        <w:pStyle w:val="BodyText"/>
      </w:pPr>
      <w:r>
        <w:t xml:space="preserve">Notably, 82% of new clients in Shanghai were secured through strategic partnerships with local chambers of commerce and Shanghai Municipal Economic Development Bureau initiatives—demonstrating how our Business Consultant approach aligns with regional economic priorities.</w:t>
      </w:r>
    </w:p>
    <w:bookmarkEnd w:id="22"/>
    <w:bookmarkStart w:id="23" w:name="iv.-strategic-client-success-stories"/>
    <w:p>
      <w:pPr>
        <w:pStyle w:val="Heading2"/>
      </w:pPr>
      <w:r>
        <w:t xml:space="preserve">IV. Strategic Client Success Stories</w:t>
      </w:r>
    </w:p>
    <w:p>
      <w:pPr>
        <w:pStyle w:val="FirstParagraph"/>
      </w:pPr>
      <w:r>
        <w:rPr>
          <w:bCs/>
          <w:b/>
        </w:rPr>
        <w:t xml:space="preserve">Case Study 1: Automotive Industry Transformation</w:t>
      </w:r>
      <w:r>
        <w:br/>
      </w:r>
      <w:r>
        <w:t xml:space="preserve">Partnered with a German automaker to navigate Shanghai's EV subsidy policies and supply chain localization requirements. Our Business Consultant team developed a 3-year market entry roadmap, resulting in $1.2M in annual cost savings through optimized supplier networks within Shanghai's Industrial Park zones.</w:t>
      </w:r>
    </w:p>
    <w:p>
      <w:pPr>
        <w:pStyle w:val="BodyText"/>
      </w:pPr>
      <w:r>
        <w:rPr>
          <w:bCs/>
          <w:b/>
        </w:rPr>
        <w:t xml:space="preserve">Case Study 2: Fintech Regulatory Compliance</w:t>
      </w:r>
      <w:r>
        <w:br/>
      </w:r>
      <w:r>
        <w:t xml:space="preserve">Assisted a Singaporean fintech firm with China's Payment Clearing System regulations. The Business Consultant delivered a compliance framework approved by the Shanghai Financial Regulatory Bureau, accelerating market entry by 7 months and securing $1.8M in Series B funding.</w:t>
      </w:r>
    </w:p>
    <w:p>
      <w:pPr>
        <w:pStyle w:val="BodyText"/>
      </w:pPr>
      <w:r>
        <w:rPr>
          <w:bCs/>
          <w:b/>
        </w:rPr>
        <w:t xml:space="preserve">Case Study 3: Cross-Border E-commerce Expansion</w:t>
      </w:r>
      <w:r>
        <w:br/>
      </w:r>
      <w:r>
        <w:t xml:space="preserve">For a Japanese cosmetics manufacturer, our Shanghai-based Business Consultant team established a localized logistics hub in Yangshan Free Trade Zone, reducing delivery times to Chinese consumers by 40% and increasing market share from 8% to 22% within one year.</w:t>
      </w:r>
    </w:p>
    <w:bookmarkEnd w:id="23"/>
    <w:bookmarkStart w:id="24" w:name="X053baa67ad0364d1a6d524bd45e8562a3ca8709"/>
    <w:p>
      <w:pPr>
        <w:pStyle w:val="Heading2"/>
      </w:pPr>
      <w:r>
        <w:t xml:space="preserve">V. Shanghai-Specific Market Challenges &amp; Solutions</w:t>
      </w:r>
    </w:p>
    <w:p>
      <w:pPr>
        <w:pStyle w:val="FirstParagraph"/>
      </w:pPr>
      <w:r>
        <w:t xml:space="preserve">Our Business Consultant team proactively addressed three critical Shanghai challenges:</w:t>
      </w:r>
    </w:p>
    <w:p>
      <w:pPr>
        <w:numPr>
          <w:ilvl w:val="0"/>
          <w:numId w:val="1001"/>
        </w:numPr>
        <w:pStyle w:val="Compact"/>
      </w:pPr>
      <w:r>
        <w:rPr>
          <w:bCs/>
          <w:b/>
        </w:rPr>
        <w:t xml:space="preserve">Regulatory Complexity:</w:t>
      </w:r>
      <w:r>
        <w:t xml:space="preserve"> </w:t>
      </w:r>
      <w:r>
        <w:t xml:space="preserve">Created the "Shanghai Regulatory Compass" toolkit—mapping 147 local permits and compliance checkpoints for manufacturing clients, reducing approval timelines by 35%.</w:t>
      </w:r>
    </w:p>
    <w:p>
      <w:pPr>
        <w:numPr>
          <w:ilvl w:val="0"/>
          <w:numId w:val="1001"/>
        </w:numPr>
        <w:pStyle w:val="Compact"/>
      </w:pPr>
      <w:r>
        <w:rPr>
          <w:bCs/>
          <w:b/>
        </w:rPr>
        <w:t xml:space="preserve">Cultural Nuances:</w:t>
      </w:r>
      <w:r>
        <w:t xml:space="preserve"> </w:t>
      </w:r>
      <w:r>
        <w:t xml:space="preserve">Implemented mandatory cross-cultural training for all consultants working with Shanghai-based teams, improving client satisfaction scores from 4.2/5 to 4.8/5 in Q3.</w:t>
      </w:r>
    </w:p>
    <w:p>
      <w:pPr>
        <w:numPr>
          <w:ilvl w:val="0"/>
          <w:numId w:val="1001"/>
        </w:numPr>
        <w:pStyle w:val="Compact"/>
      </w:pPr>
      <w:r>
        <w:rPr>
          <w:bCs/>
          <w:b/>
        </w:rPr>
        <w:t xml:space="preserve">Digital Transformation Pressures:</w:t>
      </w:r>
      <w:r>
        <w:t xml:space="preserve"> </w:t>
      </w:r>
      <w:r>
        <w:t xml:space="preserve">Launched "Shanghai Smart Operations" service line focused on integrating Alibaba Cloud and Tencent ecosystem tools—adopted by 6 of our top-10 clients.</w:t>
      </w:r>
    </w:p>
    <w:bookmarkEnd w:id="24"/>
    <w:bookmarkStart w:id="25" w:name="X23cda0587626b8b14466d8e39e3af8ff691af85"/>
    <w:p>
      <w:pPr>
        <w:pStyle w:val="Heading2"/>
      </w:pPr>
      <w:r>
        <w:t xml:space="preserve">VI. Strategic Recommendations for Q4 2024</w:t>
      </w:r>
    </w:p>
    <w:p>
      <w:pPr>
        <w:pStyle w:val="FirstParagraph"/>
      </w:pPr>
      <w:r>
        <w:t xml:space="preserve">To sustain momentum in China Shanghai, we propose:</w:t>
      </w:r>
    </w:p>
    <w:p>
      <w:pPr>
        <w:numPr>
          <w:ilvl w:val="0"/>
          <w:numId w:val="1002"/>
        </w:numPr>
        <w:pStyle w:val="Compact"/>
      </w:pPr>
      <w:r>
        <w:rPr>
          <w:bCs/>
          <w:b/>
        </w:rPr>
        <w:t xml:space="preserve">Expand "Shanghai Local Partner" Network:</w:t>
      </w:r>
      <w:r>
        <w:t xml:space="preserve"> </w:t>
      </w:r>
      <w:r>
        <w:t xml:space="preserve">Recruit 5 senior consultants with deep connections to Pudong New Area development authorities by Q1 2025.</w:t>
      </w:r>
    </w:p>
    <w:p>
      <w:pPr>
        <w:numPr>
          <w:ilvl w:val="0"/>
          <w:numId w:val="1002"/>
        </w:numPr>
        <w:pStyle w:val="Compact"/>
      </w:pPr>
      <w:r>
        <w:rPr>
          <w:bCs/>
          <w:b/>
        </w:rPr>
        <w:t xml:space="preserve">Develop Tiered Service Packages:</w:t>
      </w:r>
      <w:r>
        <w:t xml:space="preserve"> </w:t>
      </w:r>
      <w:r>
        <w:t xml:space="preserve">Create Shanghai-specific offerings (e.g., "Belt &amp; Road Compliance Package") for emerging sectors like green tech and biopharma.</w:t>
      </w:r>
    </w:p>
    <w:p>
      <w:pPr>
        <w:numPr>
          <w:ilvl w:val="0"/>
          <w:numId w:val="1002"/>
        </w:numPr>
        <w:pStyle w:val="Compact"/>
      </w:pPr>
      <w:r>
        <w:rPr>
          <w:bCs/>
          <w:b/>
        </w:rPr>
        <w:t xml:space="preserve">Leverage Data Localization Requirements:</w:t>
      </w:r>
      <w:r>
        <w:t xml:space="preserve"> </w:t>
      </w:r>
      <w:r>
        <w:t xml:space="preserve">Build AI-powered analytics dashboard showing real-time Shanghai market indicators (trade volumes, policy updates) for all clients.</w:t>
      </w:r>
    </w:p>
    <w:bookmarkEnd w:id="25"/>
    <w:bookmarkStart w:id="26" w:name="Xa99dfe590964146e2e19ec18e8999a74a9e0408"/>
    <w:p>
      <w:pPr>
        <w:pStyle w:val="Heading2"/>
      </w:pPr>
      <w:r>
        <w:t xml:space="preserve">VII. Conclusion: The Unmatched Value of Shanghai-Centric Consulting</w:t>
      </w:r>
    </w:p>
    <w:p>
      <w:pPr>
        <w:pStyle w:val="FirstParagraph"/>
      </w:pPr>
      <w:r>
        <w:t xml:space="preserve">This Q3 Sales Report unequivocally demonstrates that our Business Consultant services have become indispensable in China's most competitive market. Shanghai's unique convergence of global commerce, digital innovation, and regulatory complexity demands consultants who speak the local language—both literally and strategically. Our $5.3M in new business validates that enterprises recognize our specialized Shanghai expertise delivers results beyond generic consulting approaches.</w:t>
      </w:r>
    </w:p>
    <w:p>
      <w:pPr>
        <w:pStyle w:val="BodyText"/>
      </w:pPr>
      <w:r>
        <w:t xml:space="preserve">As China accelerates its dual circulation strategy and Shanghai solidifies its role as the nation's innovation engine, the demand for hyper-localized Business Consultant services will intensify. We have positioned ourselves not merely as service providers, but as strategic partners embedded in Shanghai's economic fabric. The 18% growth in Q3 is merely the beginning—we forecast 25% annual expansion for our Shanghai business unit by Q4 2025 through targeted investments in regional expertise.</w:t>
      </w:r>
    </w:p>
    <w:p>
      <w:pPr>
        <w:pStyle w:val="BodyText"/>
      </w:pPr>
      <w:r>
        <w:t xml:space="preserve">For investors and leadership, this Sales Report confirms that our Business Consultant model in China Shanghai is delivering exceptional market traction. We stand ready to scale these successful strategies across all China operations while maintaining the localized precision that makes our Shanghai practice a growth engine for the entire firm.</w:t>
      </w:r>
    </w:p>
    <w:p>
      <w:r>
        <w:pict>
          <v:rect style="width:0;height:1.5pt" o:hralign="center" o:hrstd="t" o:hr="t"/>
        </w:pict>
      </w:r>
    </w:p>
    <w:p>
      <w:pPr>
        <w:pStyle w:val="FirstParagraph"/>
      </w:pPr>
      <w:r>
        <w:rPr>
          <w:iCs/>
          <w:i/>
        </w:rPr>
        <w:t xml:space="preserve">Disclaimer: All figures based on internal sales data as of September 30, 2024. Market analysis incorporates data from Shanghai Municipal Bureau of Statistics and China International Economic Cooperation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China Shanghai Market Analysis</dc:title>
  <dc:creator/>
  <dc:language>en</dc:language>
  <cp:keywords/>
  <dcterms:created xsi:type="dcterms:W3CDTF">2026-07-23T23:01:47Z</dcterms:created>
  <dcterms:modified xsi:type="dcterms:W3CDTF">2026-07-23T23:01:47Z</dcterms:modified>
</cp:coreProperties>
</file>

<file path=docProps/custom.xml><?xml version="1.0" encoding="utf-8"?>
<Properties xmlns="http://schemas.openxmlformats.org/officeDocument/2006/custom-properties" xmlns:vt="http://schemas.openxmlformats.org/officeDocument/2006/docPropsVTypes"/>
</file>