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p>
    <w:bookmarkStart w:id="27" w:name="Xaad0a1222d09a39ef30ffbc913a5f9cee80169a"/>
    <w:p>
      <w:pPr>
        <w:pStyle w:val="Heading1"/>
      </w:pPr>
      <w:r>
        <w:t xml:space="preserve">Sales Report: Business Consultant Services in Colombia Bogotá Market (Q3 2023)</w:t>
      </w:r>
    </w:p>
    <w:bookmarkStart w:id="20" w:name="executive-summary"/>
    <w:p>
      <w:pPr>
        <w:pStyle w:val="Heading2"/>
      </w:pPr>
      <w:r>
        <w:t xml:space="preserve">Executive Summary</w:t>
      </w:r>
    </w:p>
    <w:p>
      <w:pPr>
        <w:pStyle w:val="FirstParagraph"/>
      </w:pPr>
      <w:r>
        <w:t xml:space="preserve">This comprehensive Sales Report details the performance of our business consulting services across Colombia's economic capital, Bogotá. As a leading global Business Consultant firm with specialized operations in Colombia Bogotá, we achieved remarkable growth during Q3 2023, securing 18 new enterprise contracts with a total value of $485,000 USD. This represents a 37% year-over-year increase in revenue specifically within the Bogotá market—a testament to our tailored strategies for Colombia's most dynamic business hub. The report analyzes market dynamics, client acquisition metrics, and future opportunities for our Business Consultant division operating exclusively in Colombia Bogotá.</w:t>
      </w:r>
    </w:p>
    <w:bookmarkEnd w:id="20"/>
    <w:bookmarkStart w:id="21" w:name="Xc17fa27e4a28a71c4e9e30e1ab1d5a0c27ebbc5"/>
    <w:p>
      <w:pPr>
        <w:pStyle w:val="Heading2"/>
      </w:pPr>
      <w:r>
        <w:t xml:space="preserve">Market Analysis: Why Bogotá Demands Expert Business Consulting</w:t>
      </w:r>
    </w:p>
    <w:p>
      <w:pPr>
        <w:pStyle w:val="FirstParagraph"/>
      </w:pPr>
      <w:r>
        <w:t xml:space="preserve">Bogotá continues to serve as Colombia's undisputed economic engine, contributing 38% of the nation's GDP and housing 47% of all multinational corporate headquarters. As a Business Consultant operating in Colombia Bogotá, we've identified three critical market drivers:</w:t>
      </w:r>
    </w:p>
    <w:p>
      <w:pPr>
        <w:numPr>
          <w:ilvl w:val="0"/>
          <w:numId w:val="1001"/>
        </w:numPr>
        <w:pStyle w:val="Compact"/>
      </w:pPr>
      <w:r>
        <w:rPr>
          <w:bCs/>
          <w:b/>
        </w:rPr>
        <w:t xml:space="preserve">Post-Pandemic Recovery Acceleration:</w:t>
      </w:r>
      <w:r>
        <w:t xml:space="preserve"> </w:t>
      </w:r>
      <w:r>
        <w:t xml:space="preserve">Bogotá businesses require specialized guidance to navigate inflation (6.8% YoY) and supply chain fragmentation. Our Q3 client base includes 12 manufacturing firms implementing cost-optimization frameworks.</w:t>
      </w:r>
    </w:p>
    <w:p>
      <w:pPr>
        <w:numPr>
          <w:ilvl w:val="0"/>
          <w:numId w:val="1001"/>
        </w:numPr>
        <w:pStyle w:val="Compact"/>
      </w:pPr>
      <w:r>
        <w:rPr>
          <w:bCs/>
          <w:b/>
        </w:rPr>
        <w:t xml:space="preserve">Digital Transformation Imperative:</w:t>
      </w:r>
      <w:r>
        <w:t xml:space="preserve"> </w:t>
      </w:r>
      <w:r>
        <w:t xml:space="preserve">74% of Bogotá SMEs lack structured digital roadmaps (Banco de la República, 2023). Our Business Consultant team delivered AI integration solutions for Banco de Bogotá's retail partners.</w:t>
      </w:r>
    </w:p>
    <w:p>
      <w:pPr>
        <w:numPr>
          <w:ilvl w:val="0"/>
          <w:numId w:val="1001"/>
        </w:numPr>
        <w:pStyle w:val="Compact"/>
      </w:pPr>
      <w:r>
        <w:rPr>
          <w:bCs/>
          <w:b/>
        </w:rPr>
        <w:t xml:space="preserve">Regulatory Complexity:</w:t>
      </w:r>
      <w:r>
        <w:t xml:space="preserve"> </w:t>
      </w:r>
      <w:r>
        <w:t xml:space="preserve">Colombia's evolving tax codes and ESG regulations demand local expertise. Our Bogotá-based consultants reduced client compliance risks by 63% through localized advisory services.</w:t>
      </w:r>
    </w:p>
    <w:bookmarkEnd w:id="21"/>
    <w:bookmarkStart w:id="22" w:name="X507f0ab6f9a6d86620a107bb6b4ff7bdabe5fa4"/>
    <w:p>
      <w:pPr>
        <w:pStyle w:val="Heading2"/>
      </w:pPr>
      <w:r>
        <w:t xml:space="preserve">Sales Performance Highlights: Colombia Bogotá Focus</w:t>
      </w:r>
    </w:p>
    <w:p>
      <w:pPr>
        <w:pStyle w:val="FirstParagraph"/>
      </w:pPr>
      <w:r>
        <w:t xml:space="preserve">Our sales strategy in Colombia Bogotá centers on hyper-localized engagement, reflected in these Q3 achievements: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New Client Acquisition (Bogotá)</w:t>
      </w:r>
    </w:p>
    <w:p>
      <w:pPr>
        <w:pStyle w:val="BodyText"/>
      </w:pPr>
      <w:r>
        <w:t xml:space="preserve">18</w:t>
      </w:r>
    </w:p>
    <w:p>
      <w:pPr>
        <w:pStyle w:val="BodyText"/>
      </w:pPr>
      <w:r>
        <w:t xml:space="preserve">13</w:t>
      </w:r>
    </w:p>
    <w:p>
      <w:pPr>
        <w:pStyle w:val="BodyText"/>
      </w:pPr>
      <w:r>
        <w:t xml:space="preserve">+38.5%</w:t>
      </w:r>
    </w:p>
    <w:p>
      <w:pPr>
        <w:pStyle w:val="BodyText"/>
      </w:pPr>
      <w:r>
        <w:t xml:space="preserve">Average Deal Size</w:t>
      </w:r>
    </w:p>
    <w:p>
      <w:pPr>
        <w:pStyle w:val="BodyText"/>
      </w:pPr>
      <w:r>
        <w:t xml:space="preserve">$26,944 USD</w:t>
      </w:r>
    </w:p>
    <w:p>
      <w:pPr>
        <w:pStyle w:val="BodyText"/>
      </w:pPr>
      <w:r>
        <w:t xml:space="preserve">$22,500 USD</w:t>
      </w:r>
    </w:p>
    <w:p>
      <w:pPr>
        <w:pStyle w:val="BodyText"/>
      </w:pPr>
      <w:r>
        <w:t xml:space="preserve">Client Retention Rate (Bogotá)</w:t>
      </w:r>
    </w:p>
    <w:p>
      <w:pPr>
        <w:pStyle w:val="BodyText"/>
      </w:pPr>
      <w:r>
        <w:t xml:space="preserve">89%</w:t>
      </w:r>
    </w:p>
    <w:p>
      <w:pPr>
        <w:pStyle w:val="BodyText"/>
      </w:pPr>
      <w:r>
        <w:t xml:space="preserve">83%</w:t>
      </w:r>
    </w:p>
    <w:p>
      <w:pPr>
        <w:pStyle w:val="BodyText"/>
      </w:pPr>
      <w:r>
        <w:t xml:space="preserve">+6 pts</w:t>
      </w:r>
    </w:p>
    <w:p>
      <w:pPr>
        <w:pStyle w:val="BodyText"/>
      </w:pPr>
      <w:r>
        <w:t xml:space="preserve">Sales Cycle Duration</w:t>
      </w:r>
    </w:p>
    <w:p>
      <w:pPr>
        <w:pStyle w:val="BodyText"/>
      </w:pPr>
      <w:r>
        <w:t xml:space="preserve">47 days</w:t>
      </w:r>
    </w:p>
    <w:p>
      <w:pPr>
        <w:pStyle w:val="BodyText"/>
      </w:pPr>
      <w:r>
        <w:t xml:space="preserve">58 days</w:t>
      </w:r>
    </w:p>
    <w:p>
      <w:pPr>
        <w:pStyle w:val="BodyText"/>
      </w:pPr>
      <w:r>
        <w:t xml:space="preserve">The 18 new clients represent a strategic shift toward high-impact sectors: 53% in financial services (including Banco de Bogotá's fintech division), 22% in logistics, and 25% in sustainable manufacturing. Notably, all contracts include mandatory on-site consulting sessions at our Bogotá office—underscoring the criticality of physical presence for Colombian business relationships.</w:t>
      </w:r>
    </w:p>
    <w:bookmarkEnd w:id="22"/>
    <w:bookmarkStart w:id="23" w:name="Xf0143a366f14b789e2f1a81cea301f05462dcbf"/>
    <w:p>
      <w:pPr>
        <w:pStyle w:val="Heading2"/>
      </w:pPr>
      <w:r>
        <w:t xml:space="preserve">Client Success: Bogotá-Based Business Consultant Impact</w:t>
      </w:r>
    </w:p>
    <w:p>
      <w:pPr>
        <w:pStyle w:val="FirstParagraph"/>
      </w:pPr>
      <w:r>
        <w:t xml:space="preserve">Client testimonials from Colombia Bogotá illustrate our service's tangible value:</w:t>
      </w:r>
    </w:p>
    <w:p>
      <w:pPr>
        <w:pStyle w:val="BlockText"/>
      </w:pPr>
      <w:r>
        <w:t xml:space="preserve">"</w:t>
      </w:r>
      <w:r>
        <w:rPr>
          <w:iCs/>
          <w:i/>
        </w:rPr>
        <w:t xml:space="preserve">After engaging our Business Consultant in Bogotá, we reduced operational costs by 29% within six months while expanding into three new Latin American markets. Their local market intelligence was unmatched.</w:t>
      </w:r>
      <w:r>
        <w:t xml:space="preserve">"</w:t>
      </w:r>
      <w:r>
        <w:t xml:space="preserve"> </w:t>
      </w:r>
      <w:r>
        <w:rPr>
          <w:bCs/>
          <w:b/>
        </w:rPr>
        <w:t xml:space="preserve">- Maria Torres, CEO, CreditoFácil (Bogotá-based fintech)</w:t>
      </w:r>
    </w:p>
    <w:p>
      <w:pPr>
        <w:pStyle w:val="BlockText"/>
      </w:pPr>
      <w:r>
        <w:t xml:space="preserve">"</w:t>
      </w:r>
      <w:r>
        <w:rPr>
          <w:iCs/>
          <w:i/>
        </w:rPr>
        <w:t xml:space="preserve">Our Colombian team struggled with Colombia's new tax code until the Business Consultant from Bogotá implemented our compliance framework. They understood local nuances like DIAN regulations that foreign firms missed.</w:t>
      </w:r>
      <w:r>
        <w:t xml:space="preserve">"</w:t>
      </w:r>
      <w:r>
        <w:t xml:space="preserve"> </w:t>
      </w:r>
      <w:r>
        <w:rPr>
          <w:bCs/>
          <w:b/>
        </w:rPr>
        <w:t xml:space="preserve">- Carlos Mendoza, CFO, Logística Andina (Bogotá logistics leader)</w:t>
      </w:r>
    </w:p>
    <w:bookmarkEnd w:id="23"/>
    <w:bookmarkStart w:id="24" w:name="challenges-in-colombia-bogotá-market"/>
    <w:p>
      <w:pPr>
        <w:pStyle w:val="Heading2"/>
      </w:pPr>
      <w:r>
        <w:t xml:space="preserve">Challenges in Colombia Bogotá Market</w:t>
      </w:r>
    </w:p>
    <w:p>
      <w:pPr>
        <w:pStyle w:val="FirstParagraph"/>
      </w:pPr>
      <w:r>
        <w:t xml:space="preserve">Despite growth, our Business Consultant operations face unique Colombian challenges:</w:t>
      </w:r>
    </w:p>
    <w:p>
      <w:pPr>
        <w:numPr>
          <w:ilvl w:val="0"/>
          <w:numId w:val="1002"/>
        </w:numPr>
        <w:pStyle w:val="Compact"/>
      </w:pPr>
      <w:r>
        <w:rPr>
          <w:bCs/>
          <w:b/>
        </w:rPr>
        <w:t xml:space="preserve">Cultural Nuances:</w:t>
      </w:r>
      <w:r>
        <w:t xml:space="preserve"> </w:t>
      </w:r>
      <w:r>
        <w:t xml:space="preserve">Bogotá business culture values personal relationships (rapport) over transactional interactions. Our sales team now conducts mandatory "cultural immersion" sessions before client meetings.</w:t>
      </w:r>
    </w:p>
    <w:p>
      <w:pPr>
        <w:numPr>
          <w:ilvl w:val="0"/>
          <w:numId w:val="1002"/>
        </w:numPr>
        <w:pStyle w:val="Compact"/>
      </w:pPr>
      <w:r>
        <w:rPr>
          <w:bCs/>
          <w:b/>
        </w:rPr>
        <w:t xml:space="preserve">Talent Competition:</w:t>
      </w:r>
      <w:r>
        <w:t xml:space="preserve"> </w:t>
      </w:r>
      <w:r>
        <w:t xml:space="preserve">Top Colombian consultants are recruited by multinationals at 22% higher salaries, requiring us to enhance our Bogotá compensation packages.</w:t>
      </w:r>
    </w:p>
    <w:p>
      <w:pPr>
        <w:numPr>
          <w:ilvl w:val="0"/>
          <w:numId w:val="1002"/>
        </w:numPr>
        <w:pStyle w:val="Compact"/>
      </w:pPr>
      <w:r>
        <w:rPr>
          <w:bCs/>
          <w:b/>
        </w:rPr>
        <w:t xml:space="preserve">Infrastructure Constraints:</w:t>
      </w:r>
      <w:r>
        <w:t xml:space="preserve"> </w:t>
      </w:r>
      <w:r>
        <w:t xml:space="preserve">Power outages in certain Bogotá zones disrupt virtual consultations. We've implemented backup generators at our office and mobile consultation units for field services.</w:t>
      </w:r>
    </w:p>
    <w:bookmarkEnd w:id="24"/>
    <w:bookmarkStart w:id="25" w:name="Xd25af06b8095c4b27eda174069ff22c5cbfdcb6"/>
    <w:p>
      <w:pPr>
        <w:pStyle w:val="Heading2"/>
      </w:pPr>
      <w:r>
        <w:t xml:space="preserve">Future Strategy: Scaling Business Consultant Services in Colombia Bogotá</w:t>
      </w:r>
    </w:p>
    <w:p>
      <w:pPr>
        <w:pStyle w:val="FirstParagraph"/>
      </w:pPr>
      <w:r>
        <w:t xml:space="preserve">To capitalize on Bogotá's growth potential, we're implementing these Q4 initiatives:</w:t>
      </w:r>
    </w:p>
    <w:p>
      <w:pPr>
        <w:numPr>
          <w:ilvl w:val="0"/>
          <w:numId w:val="1003"/>
        </w:numPr>
        <w:pStyle w:val="Compact"/>
      </w:pPr>
      <w:r>
        <w:rPr>
          <w:bCs/>
          <w:b/>
        </w:rPr>
        <w:t xml:space="preserve">Localized Solution Bundles:</w:t>
      </w:r>
      <w:r>
        <w:t xml:space="preserve"> </w:t>
      </w:r>
      <w:r>
        <w:t xml:space="preserve">Launching "Bogotá Compliance Plus" packages addressing specific Colombian regulations (e.g., labor code updates for SMEs), projected to generate $310K in new revenue by Q1 2024.</w:t>
      </w:r>
    </w:p>
    <w:p>
      <w:pPr>
        <w:numPr>
          <w:ilvl w:val="0"/>
          <w:numId w:val="1003"/>
        </w:numPr>
        <w:pStyle w:val="Compact"/>
      </w:pPr>
      <w:r>
        <w:rPr>
          <w:bCs/>
          <w:b/>
        </w:rPr>
        <w:t xml:space="preserve">Bogotá Community Partnerships:</w:t>
      </w:r>
      <w:r>
        <w:t xml:space="preserve"> </w:t>
      </w:r>
      <w:r>
        <w:t xml:space="preserve">Formalizing alliances with the Bogotá Chamber of Commerce and Cámara de Comercio, including joint workshops at their headquarters. This will increase our lead generation by 35% in local markets.</w:t>
      </w:r>
    </w:p>
    <w:p>
      <w:pPr>
        <w:numPr>
          <w:ilvl w:val="0"/>
          <w:numId w:val="1003"/>
        </w:numPr>
        <w:pStyle w:val="Compact"/>
      </w:pPr>
      <w:r>
        <w:rPr>
          <w:bCs/>
          <w:b/>
        </w:rPr>
        <w:t xml:space="preserve">Digital Transformation Accelerator:</w:t>
      </w:r>
      <w:r>
        <w:t xml:space="preserve"> </w:t>
      </w:r>
      <w:r>
        <w:t xml:space="preserve">Creating a dedicated Bogotá team focused exclusively on AI-driven sales optimization tools for Colombian clients—addressing the top request from Q3 surveys.</w:t>
      </w:r>
    </w:p>
    <w:bookmarkEnd w:id="25"/>
    <w:bookmarkStart w:id="26" w:name="X9c60cc9313cd62bb2aeacc4f26925b4e87dda91"/>
    <w:p>
      <w:pPr>
        <w:pStyle w:val="Heading2"/>
      </w:pPr>
      <w:r>
        <w:t xml:space="preserve">Conclusion: The Indispensable Business Consultant in Colombia Bogotá</w:t>
      </w:r>
    </w:p>
    <w:p>
      <w:pPr>
        <w:pStyle w:val="FirstParagraph"/>
      </w:pPr>
      <w:r>
        <w:t xml:space="preserve">This Sales Report confirms that Colombia Bogotá remains our most profitable and strategically vital market. The 37% YoY revenue surge validates our investment in hyper-local expertise—a differentiator that foreign consulting firms cannot replicate. As Colombia's economy increasingly integrates with global markets, the demand for a Business Consultant who understands Bogotá's unique business ecosystem will only intensify.</w:t>
      </w:r>
    </w:p>
    <w:p>
      <w:pPr>
        <w:pStyle w:val="BodyText"/>
      </w:pPr>
      <w:r>
        <w:t xml:space="preserve">Our commitment to maintaining an on-ground presence in Colombia Bogotá—through physical offices, cultural fluency, and regulatory expertise—positions us not just as a consultant, but as an indispensable partner for enterprises navigating the complexities of modern Colombian commerce. We project Q4 revenue in Bogotá to exceed $520,000 USD through our focused strategies. The path forward is clear: deepen our Colombia Bogotá roots while scaling impact across Colombia's most dynamic economic center.</w:t>
      </w:r>
    </w:p>
    <w:p>
      <w:pPr>
        <w:pStyle w:val="BodyText"/>
      </w:pPr>
      <w:r>
        <w:rPr>
          <w:iCs/>
          <w:i/>
        </w:rPr>
        <w:t xml:space="preserve">Prepared by: Global Business Insights Division</w:t>
      </w:r>
      <w:r>
        <w:br/>
      </w: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Colombia Bogotá Market</dc:title>
  <dc:creator/>
  <dc:language>en</dc:language>
  <cp:keywords/>
  <dcterms:created xsi:type="dcterms:W3CDTF">2025-12-11T14:25:09Z</dcterms:created>
  <dcterms:modified xsi:type="dcterms:W3CDTF">2025-12-11T14:25:09Z</dcterms:modified>
</cp:coreProperties>
</file>

<file path=docProps/custom.xml><?xml version="1.0" encoding="utf-8"?>
<Properties xmlns="http://schemas.openxmlformats.org/officeDocument/2006/custom-properties" xmlns:vt="http://schemas.openxmlformats.org/officeDocument/2006/docPropsVTypes"/>
</file>