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0af18a296a6454e223ff44aeb7fa4cda9d1a387"/>
    <w:p>
      <w:pPr>
        <w:pStyle w:val="Heading1"/>
      </w:pPr>
      <w:r>
        <w:t xml:space="preserve">Sales Report: Strategic Business Consulting Excellence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Business Advisory Group (IBAG)</w:t>
      </w:r>
      <w:r>
        <w:br/>
      </w:r>
      <w:r>
        <w:rPr>
          <w:bCs/>
          <w:b/>
        </w:rPr>
        <w:t xml:space="preserve">Region Covered:</w:t>
      </w:r>
      <w:r>
        <w:t xml:space="preserve"> </w:t>
      </w:r>
      <w:r>
        <w:t xml:space="preserve">Colombia Medellín</w:t>
      </w:r>
    </w:p>
    <w:bookmarkStart w:id="20" w:name="i.-executive-summary"/>
    <w:p>
      <w:pPr>
        <w:pStyle w:val="Heading2"/>
      </w:pPr>
      <w:r>
        <w:t xml:space="preserve">I. Executive Summary</w:t>
      </w:r>
    </w:p>
    <w:p>
      <w:pPr>
        <w:pStyle w:val="FirstParagraph"/>
      </w:pPr>
      <w:r>
        <w:t xml:space="preserve">This Sales Report details the performance and strategic advancements of our Business Consultant services within the vibrant economic ecosystem of Colombia Medellín. Over the past fiscal quarter, we have achieved a remarkable 37% year-over-year growth in client acquisitions, securing 18 new contracts totaling $1.42M USD across key sectors including manufacturing, technology startups, and agribusiness. This success positions us as the premier Business Consultant partner for multinational corporations and local enterprises seeking to navigate Medellín's dynamic market while leveraging Colombia's strategic advantages in Latin America.</w:t>
      </w:r>
    </w:p>
    <w:bookmarkEnd w:id="20"/>
    <w:bookmarkStart w:id="21" w:name="ii.-market-context-why-medellín-matters"/>
    <w:p>
      <w:pPr>
        <w:pStyle w:val="Heading2"/>
      </w:pPr>
      <w:r>
        <w:t xml:space="preserve">II. Market Context: Why Medellín Matters</w:t>
      </w:r>
    </w:p>
    <w:p>
      <w:pPr>
        <w:pStyle w:val="FirstParagraph"/>
      </w:pPr>
      <w:r>
        <w:t xml:space="preserve">Medellín, Colombia has transformed from a city synonymous with conflict to the nation's second most important economic hub and a global innovation hotspot. As of 2023, it hosts over 14,000 registered businesses across technology (including Medellín Tech Corridor), sustainable manufacturing, and export-oriented agro-industry. The city's World Bank-recognized "Urban Innovation" model creates unprecedented opportunities for businesses requiring specialized market entry strategies. Our Business Consultant team has capitalized on this momentum by developing hyper-localized solutions that address Medellín-specific challenges: 42% of our client projects now directly incorporate Medellín's unique public-private partnership frameworks and municipal development initiatives.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This Quarter</w:t>
            </w:r>
          </w:p>
        </w:tc>
        <w:tc>
          <w:tcPr/>
          <w:p>
            <w:pPr>
              <w:pStyle w:val="Compact"/>
              <w:jc w:val="left"/>
            </w:pPr>
            <w:r>
              <w:t xml:space="preserve">Prior Year Same Period</w:t>
            </w:r>
          </w:p>
        </w:tc>
        <w:tc>
          <w:tcPr/>
          <w:p>
            <w:pPr>
              <w:pStyle w:val="Compact"/>
              <w:jc w:val="left"/>
            </w:pPr>
            <w:r>
              <w:t xml:space="preserve">YoY Change</w:t>
            </w:r>
          </w:p>
        </w:tc>
      </w:tr>
      <w:tr>
        <w:tc>
          <w:tcPr/>
          <w:p>
            <w:pPr>
              <w:pStyle w:val="Compact"/>
              <w:jc w:val="left"/>
            </w:pPr>
            <w:r>
              <w:t xml:space="preserve">New Client Acquisition Count</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Total Contract Value (USD)</w:t>
            </w:r>
          </w:p>
        </w:tc>
        <w:tc>
          <w:tcPr/>
          <w:p>
            <w:pPr>
              <w:pStyle w:val="Compact"/>
              <w:jc w:val="left"/>
            </w:pPr>
            <w:r>
              <w:t xml:space="preserve">$1,420,000</w:t>
            </w:r>
          </w:p>
        </w:tc>
        <w:tc>
          <w:tcPr/>
          <w:p>
            <w:pPr>
              <w:pStyle w:val="Compact"/>
              <w:jc w:val="left"/>
            </w:pPr>
            <w:r>
              <w:t xml:space="preserve">$963,500</w:t>
            </w:r>
          </w:p>
        </w:tc>
        <w:tc>
          <w:tcPr/>
          <w:p>
            <w:pPr>
              <w:pStyle w:val="Compact"/>
              <w:jc w:val="left"/>
            </w:pPr>
            <w:r>
              <w:t xml:space="preserve">+47.4%</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82%</w:t>
            </w:r>
          </w:p>
        </w:tc>
        <w:tc>
          <w:tcPr/>
          <w:p>
            <w:pPr>
              <w:pStyle w:val="Compact"/>
              <w:jc w:val="left"/>
            </w:pPr>
            <w:r>
              <w:t xml:space="preserve">+7 points</w:t>
            </w:r>
          </w:p>
        </w:tc>
      </w:tr>
    </w:tbl>
    <w:p>
      <w:pPr>
        <w:pStyle w:val="BodyText"/>
      </w:pPr>
      <w:r>
        <w:rPr>
          <w:bCs/>
          <w:b/>
        </w:rPr>
        <w:t xml:space="preserve">Sector Breakdown:</w:t>
      </w:r>
    </w:p>
    <w:p>
      <w:pPr>
        <w:numPr>
          <w:ilvl w:val="0"/>
          <w:numId w:val="1001"/>
        </w:numPr>
        <w:pStyle w:val="Compact"/>
      </w:pPr>
      <w:r>
        <w:rPr>
          <w:bCs/>
          <w:b/>
        </w:rPr>
        <w:t xml:space="preserve">Tech Startups (45%):</w:t>
      </w:r>
      <w:r>
        <w:t xml:space="preserve"> </w:t>
      </w:r>
      <w:r>
        <w:t xml:space="preserve">8 new contracts with Medellín-based scale-ups in fintech and SaaS, including a $320K engagement with "Casa Verde" for export market expansion to EU.</w:t>
      </w:r>
    </w:p>
    <w:p>
      <w:pPr>
        <w:numPr>
          <w:ilvl w:val="0"/>
          <w:numId w:val="1001"/>
        </w:numPr>
        <w:pStyle w:val="Compact"/>
      </w:pPr>
      <w:r>
        <w:rPr>
          <w:bCs/>
          <w:b/>
        </w:rPr>
        <w:t xml:space="preserve">Manufacturing (30%):</w:t>
      </w:r>
      <w:r>
        <w:t xml:space="preserve"> </w:t>
      </w:r>
      <w:r>
        <w:t xml:space="preserve">5 contracts focused on supply chain optimization for textile and metal fabrication firms leveraging Medellín's industrial parks (e.g., Parque Tecnológico).</w:t>
      </w:r>
    </w:p>
    <w:p>
      <w:pPr>
        <w:numPr>
          <w:ilvl w:val="0"/>
          <w:numId w:val="1001"/>
        </w:numPr>
        <w:pStyle w:val="Compact"/>
      </w:pPr>
      <w:r>
        <w:rPr>
          <w:bCs/>
          <w:b/>
        </w:rPr>
        <w:t xml:space="preserve">Agribusiness (25%):</w:t>
      </w:r>
      <w:r>
        <w:t xml:space="preserve"> </w:t>
      </w:r>
      <w:r>
        <w:t xml:space="preserve">5 projects supporting coffee exporters with sustainable certification and logistics solutions through Colombia's "Coffee Axis" initiative.</w:t>
      </w:r>
    </w:p>
    <w:bookmarkEnd w:id="22"/>
    <w:bookmarkStart w:id="23" w:name="X4873c0a4f1220db7cb85c49d79ce1d374cab23c"/>
    <w:p>
      <w:pPr>
        <w:pStyle w:val="Heading2"/>
      </w:pPr>
      <w:r>
        <w:t xml:space="preserve">IV. Medellín-Specific Success Case Studies</w:t>
      </w:r>
    </w:p>
    <w:p>
      <w:pPr>
        <w:pStyle w:val="FirstParagraph"/>
      </w:pPr>
      <w:r>
        <w:rPr>
          <w:bCs/>
          <w:b/>
        </w:rPr>
        <w:t xml:space="preserve">Case Study 1: Global Coffee Exporter Transformation</w:t>
      </w:r>
    </w:p>
    <w:p>
      <w:pPr>
        <w:pStyle w:val="BodyText"/>
      </w:pPr>
      <w:r>
        <w:t xml:space="preserve">A leading Medellín coffee cooperative (founded in the 1980s) struggled with fragmented supply chains and limited access to EU premium markets. Our Business Consultant team implemented a tailored strategy combining:</w:t>
      </w:r>
    </w:p>
    <w:p>
      <w:pPr>
        <w:numPr>
          <w:ilvl w:val="0"/>
          <w:numId w:val="1002"/>
        </w:numPr>
        <w:pStyle w:val="Compact"/>
      </w:pPr>
      <w:r>
        <w:t xml:space="preserve">Quality certification roadmap aligned with Colombia's National Coffee Federation (FNC) standards</w:t>
      </w:r>
    </w:p>
    <w:p>
      <w:pPr>
        <w:numPr>
          <w:ilvl w:val="0"/>
          <w:numId w:val="1002"/>
        </w:numPr>
        <w:pStyle w:val="Compact"/>
      </w:pPr>
      <w:r>
        <w:t xml:space="preserve">Medellín-based logistics hub integration using the city's new "Logistics Corridor" infrastructure</w:t>
      </w:r>
    </w:p>
    <w:p>
      <w:pPr>
        <w:numPr>
          <w:ilvl w:val="0"/>
          <w:numId w:val="1002"/>
        </w:numPr>
        <w:pStyle w:val="Compact"/>
      </w:pPr>
      <w:r>
        <w:t xml:space="preserve">Digital traceability platform developed in partnership with Medellín Tech Hub</w:t>
      </w:r>
    </w:p>
    <w:p>
      <w:pPr>
        <w:pStyle w:val="FirstParagraph"/>
      </w:pPr>
      <w:r>
        <w:rPr>
          <w:iCs/>
          <w:i/>
        </w:rPr>
        <w:t xml:space="preserve">Result:</w:t>
      </w:r>
      <w:r>
        <w:t xml:space="preserve"> </w:t>
      </w:r>
      <w:r>
        <w:t xml:space="preserve">220% revenue growth in EU exports within 14 months, securing contracts with major European retailers. The cooperative now serves as a model for Colombia's "Coffee Sustainable Innovation" program.</w:t>
      </w:r>
    </w:p>
    <w:p>
      <w:pPr>
        <w:pStyle w:val="BodyText"/>
      </w:pPr>
      <w:r>
        <w:rPr>
          <w:bCs/>
          <w:b/>
        </w:rPr>
        <w:t xml:space="preserve">Case Study 2: Tech Startup Market Entry</w:t>
      </w:r>
    </w:p>
    <w:p>
      <w:pPr>
        <w:pStyle w:val="BodyText"/>
      </w:pPr>
      <w:r>
        <w:t xml:space="preserve">A US-based healthtech firm sought Medellín expansion but faced regulatory hurdles. Our Business Consultant deployed:</w:t>
      </w:r>
    </w:p>
    <w:p>
      <w:pPr>
        <w:numPr>
          <w:ilvl w:val="0"/>
          <w:numId w:val="1003"/>
        </w:numPr>
        <w:pStyle w:val="Compact"/>
      </w:pPr>
      <w:r>
        <w:t xml:space="preserve">Specialized regulatory navigation through Colombia's Ministry of Commerce</w:t>
      </w:r>
    </w:p>
    <w:p>
      <w:pPr>
        <w:numPr>
          <w:ilvl w:val="0"/>
          <w:numId w:val="1003"/>
        </w:numPr>
        <w:pStyle w:val="Compact"/>
      </w:pPr>
      <w:r>
        <w:t xml:space="preserve">Medellín-specific partnership strategy with local clinics and Universidad EAFIT</w:t>
      </w:r>
    </w:p>
    <w:p>
      <w:pPr>
        <w:numPr>
          <w:ilvl w:val="0"/>
          <w:numId w:val="1003"/>
        </w:numPr>
        <w:pStyle w:val="Compact"/>
      </w:pPr>
      <w:r>
        <w:t xml:space="preserve">Cultural integration program addressing Medellín's business etiquette norms (e.g., relationship-building in "paseos" vs. formal meetings)</w:t>
      </w:r>
    </w:p>
    <w:p>
      <w:pPr>
        <w:pStyle w:val="FirstParagraph"/>
      </w:pPr>
      <w:r>
        <w:rPr>
          <w:iCs/>
          <w:i/>
        </w:rPr>
        <w:t xml:space="preserve">Result:</w:t>
      </w:r>
      <w:r>
        <w:t xml:space="preserve"> </w:t>
      </w:r>
      <w:r>
        <w:t xml:space="preserve">6-month market entry achieved (vs. projected 18 months), capturing 42% of Medellín's hospital tech segment within first year.</w:t>
      </w:r>
    </w:p>
    <w:bookmarkEnd w:id="23"/>
    <w:bookmarkStart w:id="24" w:name="Xe16a9db1a5494a60b6a2b6f3544168838eedbd9"/>
    <w:p>
      <w:pPr>
        <w:pStyle w:val="Heading2"/>
      </w:pPr>
      <w:r>
        <w:t xml:space="preserve">V. Challenges &amp; Localized Solutions in Colombia Medellín</w:t>
      </w:r>
    </w:p>
    <w:p>
      <w:pPr>
        <w:pStyle w:val="FirstParagraph"/>
      </w:pPr>
      <w:r>
        <w:t xml:space="preserve">We identified three critical challenges in the Medellín market, each requiring unique Business Consultant interventions:</w:t>
      </w:r>
    </w:p>
    <w:p>
      <w:pPr>
        <w:numPr>
          <w:ilvl w:val="0"/>
          <w:numId w:val="1004"/>
        </w:numPr>
        <w:pStyle w:val="Compact"/>
      </w:pPr>
      <w:r>
        <w:rPr>
          <w:bCs/>
          <w:b/>
        </w:rPr>
        <w:t xml:space="preserve">Regulatory Complexity:</w:t>
      </w:r>
      <w:r>
        <w:t xml:space="preserve"> </w:t>
      </w:r>
      <w:r>
        <w:t xml:space="preserve">Colombian business registration requires 14+ steps. Our solution: Created a "Medellín Compliance Navigator" tool integrated with municipal offices, reducing onboarding time by 63%.</w:t>
      </w:r>
    </w:p>
    <w:p>
      <w:pPr>
        <w:numPr>
          <w:ilvl w:val="0"/>
          <w:numId w:val="1004"/>
        </w:numPr>
        <w:pStyle w:val="Compact"/>
      </w:pPr>
      <w:r>
        <w:rPr>
          <w:bCs/>
          <w:b/>
        </w:rPr>
        <w:t xml:space="preserve">Cultural Misalignment:</w:t>
      </w:r>
      <w:r>
        <w:t xml:space="preserve"> </w:t>
      </w:r>
      <w:r>
        <w:t xml:space="preserve">Foreign firms often misunderstand Medellín's relationship-based commerce culture. Our solution: Mandatory cultural immersion for all consultant teams before client engagements, including workshops at Medellín's "Centro de Convenciones" with local business leaders.</w:t>
      </w:r>
    </w:p>
    <w:p>
      <w:pPr>
        <w:numPr>
          <w:ilvl w:val="0"/>
          <w:numId w:val="1004"/>
        </w:numPr>
        <w:pStyle w:val="Compact"/>
      </w:pPr>
      <w:r>
        <w:rPr>
          <w:bCs/>
          <w:b/>
        </w:rPr>
        <w:t xml:space="preserve">Infrastructure Gaps:</w:t>
      </w:r>
      <w:r>
        <w:t xml:space="preserve"> </w:t>
      </w:r>
      <w:r>
        <w:t xml:space="preserve">Logistics challenges in surrounding regions. Our solution: Partnered with Medellín's "TransMilenio" metro system for last-mile delivery optimization, adopted by 7 of our manufacturing clients.</w:t>
      </w:r>
    </w:p>
    <w:bookmarkEnd w:id="24"/>
    <w:bookmarkStart w:id="25" w:name="X6fab6f6ab06fca2158bb0f00039c9ce50393dcf"/>
    <w:p>
      <w:pPr>
        <w:pStyle w:val="Heading2"/>
      </w:pPr>
      <w:r>
        <w:t xml:space="preserve">VI. Future Growth Strategy for Colombia Medellín</w:t>
      </w:r>
    </w:p>
    <w:p>
      <w:pPr>
        <w:pStyle w:val="FirstParagraph"/>
      </w:pPr>
      <w:r>
        <w:t xml:space="preserve">Our 18-month plan focuses on cementing leadership in the Medellín market through three pillars:</w:t>
      </w:r>
    </w:p>
    <w:p>
      <w:pPr>
        <w:numPr>
          <w:ilvl w:val="0"/>
          <w:numId w:val="1005"/>
        </w:numPr>
        <w:pStyle w:val="Compact"/>
      </w:pPr>
      <w:r>
        <w:rPr>
          <w:bCs/>
          <w:b/>
        </w:rPr>
        <w:t xml:space="preserve">Medellín Innovation Ecosystem Integration:</w:t>
      </w:r>
      <w:r>
        <w:t xml:space="preserve"> </w:t>
      </w:r>
      <w:r>
        <w:t xml:space="preserve">Establishing a dedicated office at Parque Arví to co-develop solutions with Medellín's innovation clusters, targeting 20+ new partnerships by Q1 2024.</w:t>
      </w:r>
    </w:p>
    <w:p>
      <w:pPr>
        <w:numPr>
          <w:ilvl w:val="0"/>
          <w:numId w:val="1005"/>
        </w:numPr>
        <w:pStyle w:val="Compact"/>
      </w:pPr>
      <w:r>
        <w:rPr>
          <w:bCs/>
          <w:b/>
        </w:rPr>
        <w:t xml:space="preserve">Sector Specialization:</w:t>
      </w:r>
      <w:r>
        <w:t xml:space="preserve"> </w:t>
      </w:r>
      <w:r>
        <w:t xml:space="preserve">Launching Colombia-specific service lines: "Coffee Value Chain Optimization" and "Medellín Tech Export Accelerator," backed by $350K investment in local talent development.</w:t>
      </w:r>
    </w:p>
    <w:p>
      <w:pPr>
        <w:numPr>
          <w:ilvl w:val="0"/>
          <w:numId w:val="1005"/>
        </w:numPr>
        <w:pStyle w:val="Compact"/>
      </w:pPr>
      <w:r>
        <w:rPr>
          <w:bCs/>
          <w:b/>
        </w:rPr>
        <w:t xml:space="preserve">Sustainability Imperative:</w:t>
      </w:r>
      <w:r>
        <w:t xml:space="preserve"> </w:t>
      </w:r>
      <w:r>
        <w:t xml:space="preserve">Aligning all projects with Colombia's National Development Plan 2023-2026, particularly Medellín's Climate Action Plan. 100% of new proposals now include measurable ESG components.</w:t>
      </w:r>
    </w:p>
    <w:bookmarkEnd w:id="25"/>
    <w:bookmarkStart w:id="26" w:name="Xa4af4714a3c74363aca2769e17cf729e4904f64"/>
    <w:p>
      <w:pPr>
        <w:pStyle w:val="Heading2"/>
      </w:pPr>
      <w:r>
        <w:t xml:space="preserve">VII. Conclusion: The Business Consultant Advantage in Medellín</w:t>
      </w:r>
    </w:p>
    <w:p>
      <w:pPr>
        <w:pStyle w:val="FirstParagraph"/>
      </w:pPr>
      <w:r>
        <w:t xml:space="preserve">Colombia Medellín represents not just a market, but the epicenter of Latin America's economic renaissance. Our Sales Report demonstrates that successful Business Consultant services here demand more than generic strategies—they require deep immersion in Medellín's cultural fabric, regulatory landscape, and innovation momentum. The 37% Q3 growth isn't merely an indicator of sales success; it signifies our team's mastery of Medellín's unique business DNA.</w:t>
      </w:r>
    </w:p>
    <w:p>
      <w:pPr>
        <w:pStyle w:val="BodyText"/>
      </w:pPr>
      <w:r>
        <w:t xml:space="preserve">As Colombia continues to attract $12B+ in annual foreign investment (World Bank 2023), our position as the trusted Business Consultant partner for global firms entering Medellín will be critical. We are not merely selling consulting—we're enabling transformative business growth within Colombia's most dynamic city. With targeted investments in local partnerships and sector specialization, we project $4.2M in annual contract value from Medellín by Q4 2024, solidifying our leadership position as the definitive Business Consultant for Colombia Medellín.</w:t>
      </w:r>
    </w:p>
    <w:p>
      <w:pPr>
        <w:pStyle w:val="BodyText"/>
      </w:pPr>
      <w:r>
        <w:rPr>
          <w:bCs/>
          <w:b/>
        </w:rPr>
        <w:t xml:space="preserve">Prepared with Strategic Insight for Colombia's Most Innovative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Colombia Medellín</dc:title>
  <dc:creator/>
  <dc:language>en</dc:language>
  <cp:keywords/>
  <dcterms:created xsi:type="dcterms:W3CDTF">2026-07-24T10:00:35Z</dcterms:created>
  <dcterms:modified xsi:type="dcterms:W3CDTF">2026-07-24T10:00:35Z</dcterms:modified>
</cp:coreProperties>
</file>

<file path=docProps/custom.xml><?xml version="1.0" encoding="utf-8"?>
<Properties xmlns="http://schemas.openxmlformats.org/officeDocument/2006/custom-properties" xmlns:vt="http://schemas.openxmlformats.org/officeDocument/2006/docPropsVTypes"/>
</file>